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968AD">
      <w:pPr>
        <w:spacing w:line="378" w:lineRule="auto"/>
        <w:rPr>
          <w:rFonts w:ascii="Arial"/>
          <w:sz w:val="21"/>
        </w:rPr>
      </w:pPr>
    </w:p>
    <w:p w14:paraId="67281953">
      <w:pPr>
        <w:spacing w:before="98" w:line="224" w:lineRule="auto"/>
        <w:ind w:left="323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22"/>
          <w:sz w:val="30"/>
          <w:szCs w:val="30"/>
        </w:rPr>
        <w:t>附件4</w:t>
      </w:r>
    </w:p>
    <w:p w14:paraId="4AB0BE6C">
      <w:pPr>
        <w:spacing w:line="300" w:lineRule="auto"/>
        <w:rPr>
          <w:rFonts w:ascii="Arial"/>
          <w:sz w:val="21"/>
        </w:rPr>
      </w:pPr>
    </w:p>
    <w:p w14:paraId="27B496A4">
      <w:pPr>
        <w:spacing w:before="147" w:line="219" w:lineRule="auto"/>
        <w:ind w:left="323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spacing w:val="-16"/>
          <w:sz w:val="45"/>
          <w:szCs w:val="45"/>
        </w:rPr>
        <w:t>2026</w:t>
      </w:r>
      <w:r>
        <w:rPr>
          <w:rFonts w:ascii="宋体" w:hAnsi="宋体" w:eastAsia="宋体" w:cs="宋体"/>
          <w:b/>
          <w:bCs/>
          <w:spacing w:val="-16"/>
          <w:sz w:val="45"/>
          <w:szCs w:val="45"/>
        </w:rPr>
        <w:t>年度教育部哲学社会科学研究重大课题</w:t>
      </w:r>
    </w:p>
    <w:p w14:paraId="69FE999C">
      <w:pPr>
        <w:spacing w:before="16" w:line="219" w:lineRule="auto"/>
        <w:ind w:left="629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b/>
          <w:bCs/>
          <w:spacing w:val="-25"/>
          <w:sz w:val="45"/>
          <w:szCs w:val="45"/>
        </w:rPr>
        <w:t>攻关项目和高校思政课教师研究专项重大</w:t>
      </w:r>
    </w:p>
    <w:p w14:paraId="7479A3B5">
      <w:pPr>
        <w:spacing w:before="9" w:line="219" w:lineRule="auto"/>
        <w:ind w:left="1479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b/>
          <w:bCs/>
          <w:spacing w:val="-25"/>
          <w:sz w:val="45"/>
          <w:szCs w:val="45"/>
        </w:rPr>
        <w:t>课题攻关项目申报常见问题答疑</w:t>
      </w:r>
    </w:p>
    <w:p w14:paraId="7F2D8441">
      <w:pPr>
        <w:spacing w:line="456" w:lineRule="auto"/>
        <w:rPr>
          <w:rFonts w:ascii="Arial"/>
          <w:sz w:val="21"/>
        </w:rPr>
      </w:pPr>
    </w:p>
    <w:p w14:paraId="006650A3">
      <w:pPr>
        <w:pStyle w:val="2"/>
        <w:spacing w:before="91" w:line="360" w:lineRule="auto"/>
        <w:ind w:left="323" w:right="333" w:firstLine="639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50"/>
          <w:sz w:val="30"/>
          <w:szCs w:val="30"/>
        </w:rPr>
        <w:t>1. 哪些人员可以作为首席专家参加重大攻关项目</w:t>
      </w:r>
      <w:r>
        <w:rPr>
          <w:rFonts w:hint="eastAsia" w:ascii="仿宋" w:hAnsi="仿宋" w:eastAsia="仿宋" w:cs="仿宋"/>
          <w:spacing w:val="49"/>
          <w:sz w:val="30"/>
          <w:szCs w:val="30"/>
        </w:rPr>
        <w:t>的投</w:t>
      </w:r>
      <w:bookmarkStart w:id="0" w:name="_GoBack"/>
      <w:bookmarkEnd w:id="0"/>
      <w:r>
        <w:rPr>
          <w:rFonts w:hint="eastAsia" w:ascii="仿宋" w:hAnsi="仿宋" w:eastAsia="仿宋" w:cs="仿宋"/>
          <w:spacing w:val="12"/>
          <w:sz w:val="30"/>
          <w:szCs w:val="30"/>
        </w:rPr>
        <w:t>标?</w:t>
      </w:r>
    </w:p>
    <w:p w14:paraId="58D2916A">
      <w:pPr>
        <w:pStyle w:val="2"/>
        <w:tabs>
          <w:tab w:val="left" w:pos="1593"/>
        </w:tabs>
        <w:spacing w:before="3" w:line="335" w:lineRule="auto"/>
        <w:ind w:left="323" w:right="325" w:firstLine="639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u w:val="single" w:color="auto"/>
        </w:rPr>
        <w:tab/>
      </w:r>
      <w:r>
        <w:rPr>
          <w:rFonts w:hint="eastAsia" w:ascii="仿宋" w:hAnsi="仿宋" w:eastAsia="仿宋" w:cs="仿宋"/>
          <w:spacing w:val="-120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19"/>
          <w:sz w:val="30"/>
          <w:szCs w:val="30"/>
        </w:rPr>
        <w:t>两类重大攻关项目首席专家(投标者)都必须是法人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20"/>
          <w:sz w:val="30"/>
          <w:szCs w:val="30"/>
        </w:rPr>
        <w:t>(高等学校)担保的高等学校具有正高级专</w:t>
      </w:r>
      <w:r>
        <w:rPr>
          <w:rFonts w:hint="eastAsia" w:ascii="仿宋" w:hAnsi="仿宋" w:eastAsia="仿宋" w:cs="仿宋"/>
          <w:spacing w:val="19"/>
          <w:sz w:val="30"/>
          <w:szCs w:val="30"/>
        </w:rPr>
        <w:t>业技术职称的有关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10"/>
          <w:sz w:val="30"/>
          <w:szCs w:val="30"/>
        </w:rPr>
        <w:t>人员，能够担负起课题研究实际组织和指导责</w:t>
      </w:r>
      <w:r>
        <w:rPr>
          <w:rFonts w:hint="eastAsia" w:ascii="仿宋" w:hAnsi="仿宋" w:eastAsia="仿宋" w:cs="仿宋"/>
          <w:spacing w:val="9"/>
          <w:sz w:val="30"/>
          <w:szCs w:val="30"/>
        </w:rPr>
        <w:t>任。</w:t>
      </w:r>
    </w:p>
    <w:p w14:paraId="2C3319B9">
      <w:pPr>
        <w:pStyle w:val="2"/>
        <w:spacing w:before="30" w:line="343" w:lineRule="auto"/>
        <w:ind w:left="323" w:firstLine="639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16"/>
          <w:sz w:val="30"/>
          <w:szCs w:val="30"/>
        </w:rPr>
        <w:t>同时，高校思政课教师研究专项重大课题攻关项目首席专</w:t>
      </w:r>
      <w:r>
        <w:rPr>
          <w:rFonts w:hint="eastAsia" w:ascii="仿宋" w:hAnsi="仿宋" w:eastAsia="仿宋" w:cs="仿宋"/>
          <w:spacing w:val="3"/>
          <w:sz w:val="30"/>
          <w:szCs w:val="30"/>
        </w:rPr>
        <w:t xml:space="preserve">   </w:t>
      </w:r>
      <w:r>
        <w:rPr>
          <w:rFonts w:hint="eastAsia" w:ascii="仿宋" w:hAnsi="仿宋" w:eastAsia="仿宋" w:cs="仿宋"/>
          <w:spacing w:val="17"/>
          <w:sz w:val="30"/>
          <w:szCs w:val="30"/>
        </w:rPr>
        <w:t>家必须是专职思想政治理论课教师，实际从事思想政治理论课</w:t>
      </w:r>
      <w:r>
        <w:rPr>
          <w:rFonts w:hint="eastAsia" w:ascii="仿宋" w:hAnsi="仿宋" w:eastAsia="仿宋" w:cs="仿宋"/>
          <w:spacing w:val="2"/>
          <w:sz w:val="30"/>
          <w:szCs w:val="30"/>
        </w:rPr>
        <w:t xml:space="preserve">   </w:t>
      </w:r>
      <w:r>
        <w:rPr>
          <w:rFonts w:hint="eastAsia" w:ascii="仿宋" w:hAnsi="仿宋" w:eastAsia="仿宋" w:cs="仿宋"/>
          <w:spacing w:val="17"/>
          <w:sz w:val="30"/>
          <w:szCs w:val="30"/>
        </w:rPr>
        <w:t>教学、研究工作并真正承担和负责组织项目实施。专职思想政</w:t>
      </w:r>
      <w:r>
        <w:rPr>
          <w:rFonts w:hint="eastAsia" w:ascii="仿宋" w:hAnsi="仿宋" w:eastAsia="仿宋" w:cs="仿宋"/>
          <w:spacing w:val="3"/>
          <w:sz w:val="30"/>
          <w:szCs w:val="30"/>
        </w:rPr>
        <w:t xml:space="preserve">   </w:t>
      </w:r>
      <w:r>
        <w:rPr>
          <w:rFonts w:hint="eastAsia" w:ascii="仿宋" w:hAnsi="仿宋" w:eastAsia="仿宋" w:cs="仿宋"/>
          <w:spacing w:val="19"/>
          <w:sz w:val="30"/>
          <w:szCs w:val="30"/>
        </w:rPr>
        <w:t>治理论课教师身份以申报截止日期前“高校思政课教师信息库”</w:t>
      </w:r>
      <w:r>
        <w:rPr>
          <w:rFonts w:hint="eastAsia"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1"/>
          <w:sz w:val="30"/>
          <w:szCs w:val="30"/>
        </w:rPr>
        <w:t>为准。</w:t>
      </w:r>
    </w:p>
    <w:p w14:paraId="14125928">
      <w:pPr>
        <w:pStyle w:val="2"/>
        <w:spacing w:before="1" w:line="222" w:lineRule="auto"/>
        <w:ind w:left="962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11"/>
          <w:sz w:val="30"/>
          <w:szCs w:val="30"/>
        </w:rPr>
        <w:t>2.首席专家可以同时投标本次的两类重大攻关项目吗?</w:t>
      </w:r>
    </w:p>
    <w:p w14:paraId="6FF047CF">
      <w:pPr>
        <w:pStyle w:val="2"/>
        <w:tabs>
          <w:tab w:val="left" w:pos="1593"/>
        </w:tabs>
        <w:spacing w:before="195" w:line="220" w:lineRule="auto"/>
        <w:ind w:left="962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u w:val="single" w:color="auto"/>
        </w:rPr>
        <w:tab/>
      </w:r>
      <w:r>
        <w:rPr>
          <w:rFonts w:hint="eastAsia" w:ascii="仿宋" w:hAnsi="仿宋" w:eastAsia="仿宋" w:cs="仿宋"/>
          <w:spacing w:val="-126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18"/>
          <w:sz w:val="30"/>
          <w:szCs w:val="30"/>
        </w:rPr>
        <w:t>不可以。只能选择两类招标课题中的1项进行投标。</w:t>
      </w:r>
    </w:p>
    <w:p w14:paraId="0A190C01">
      <w:pPr>
        <w:pStyle w:val="2"/>
        <w:spacing w:before="214" w:line="222" w:lineRule="auto"/>
        <w:ind w:left="962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7"/>
          <w:sz w:val="30"/>
          <w:szCs w:val="30"/>
        </w:rPr>
        <w:t>3.课题组成员可以是非高校系统人员吗?</w:t>
      </w:r>
    </w:p>
    <w:p w14:paraId="31AAC084">
      <w:pPr>
        <w:pStyle w:val="2"/>
        <w:tabs>
          <w:tab w:val="left" w:pos="1593"/>
        </w:tabs>
        <w:spacing w:before="190" w:line="344" w:lineRule="auto"/>
        <w:ind w:left="323" w:right="304" w:firstLine="639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u w:val="single" w:color="auto"/>
        </w:rPr>
        <w:tab/>
      </w:r>
      <w:r>
        <w:rPr>
          <w:rFonts w:hint="eastAsia" w:ascii="仿宋" w:hAnsi="仿宋" w:eastAsia="仿宋" w:cs="仿宋"/>
          <w:spacing w:val="-133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13"/>
          <w:sz w:val="30"/>
          <w:szCs w:val="30"/>
        </w:rPr>
        <w:t>可以。课题组成员既可是高校教师，也可是非高校系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10"/>
          <w:sz w:val="30"/>
          <w:szCs w:val="30"/>
        </w:rPr>
        <w:t>统的人员。重大攻关项目鼓励协同攻关。</w:t>
      </w:r>
    </w:p>
    <w:p w14:paraId="33779D4B">
      <w:pPr>
        <w:pStyle w:val="2"/>
        <w:spacing w:before="36" w:line="222" w:lineRule="auto"/>
        <w:ind w:left="962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25"/>
          <w:sz w:val="30"/>
          <w:szCs w:val="30"/>
        </w:rPr>
        <w:t>4. 首席专家可以是两个人或更多人吗?</w:t>
      </w:r>
    </w:p>
    <w:p w14:paraId="302BD2A2">
      <w:pPr>
        <w:pStyle w:val="2"/>
        <w:tabs>
          <w:tab w:val="left" w:pos="1593"/>
        </w:tabs>
        <w:spacing w:before="201" w:line="350" w:lineRule="auto"/>
        <w:ind w:left="323" w:right="293" w:firstLine="639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u w:val="single" w:color="auto"/>
        </w:rPr>
        <w:tab/>
      </w:r>
      <w:r>
        <w:rPr>
          <w:rFonts w:hint="eastAsia" w:ascii="仿宋" w:hAnsi="仿宋" w:eastAsia="仿宋" w:cs="仿宋"/>
          <w:spacing w:val="8"/>
          <w:sz w:val="30"/>
          <w:szCs w:val="30"/>
        </w:rPr>
        <w:t>不可以，首席专家只能是一人。校内多家单位或多校</w:t>
      </w:r>
      <w:r>
        <w:rPr>
          <w:rFonts w:hint="eastAsia"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12"/>
          <w:sz w:val="30"/>
          <w:szCs w:val="30"/>
        </w:rPr>
        <w:t>联合投标，也只能由其中一人作为首席专家来进行投标。</w:t>
      </w:r>
    </w:p>
    <w:p w14:paraId="7560E91E">
      <w:pPr>
        <w:spacing w:line="350" w:lineRule="auto"/>
        <w:rPr>
          <w:rFonts w:hint="eastAsia" w:ascii="仿宋" w:hAnsi="仿宋" w:eastAsia="仿宋" w:cs="仿宋"/>
          <w:sz w:val="30"/>
          <w:szCs w:val="30"/>
        </w:rPr>
        <w:sectPr>
          <w:footerReference r:id="rId5" w:type="default"/>
          <w:pgSz w:w="12180" w:h="17030"/>
          <w:pgMar w:top="1447" w:right="1366" w:bottom="1493" w:left="1827" w:header="0" w:footer="1278" w:gutter="0"/>
          <w:cols w:space="720" w:num="1"/>
        </w:sectPr>
      </w:pPr>
    </w:p>
    <w:p w14:paraId="519158B4">
      <w:pPr>
        <w:pStyle w:val="2"/>
        <w:spacing w:before="325" w:line="319" w:lineRule="auto"/>
        <w:ind w:left="146" w:right="30" w:firstLine="619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6"/>
          <w:sz w:val="30"/>
          <w:szCs w:val="30"/>
        </w:rPr>
        <w:t>5.首席专家可以作为子课题负责人或课题组成员参与本</w:t>
      </w:r>
      <w:r>
        <w:rPr>
          <w:rFonts w:hint="eastAsia"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3"/>
          <w:sz w:val="30"/>
          <w:szCs w:val="30"/>
        </w:rPr>
        <w:t>次投标的其他课题吗?</w:t>
      </w:r>
    </w:p>
    <w:p w14:paraId="75C929A8">
      <w:pPr>
        <w:pStyle w:val="2"/>
        <w:spacing w:before="27" w:line="223" w:lineRule="auto"/>
        <w:ind w:left="766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-2"/>
          <w:sz w:val="30"/>
          <w:szCs w:val="30"/>
        </w:rPr>
        <w:t>——不可以。</w:t>
      </w:r>
    </w:p>
    <w:p w14:paraId="7212E7AF">
      <w:pPr>
        <w:pStyle w:val="2"/>
        <w:spacing w:before="150" w:line="222" w:lineRule="auto"/>
        <w:ind w:left="766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-5"/>
          <w:sz w:val="30"/>
          <w:szCs w:val="30"/>
        </w:rPr>
        <w:t>6.子课题负责人或课题组成员最多参与几个课题投标?</w:t>
      </w:r>
    </w:p>
    <w:p w14:paraId="648B40B2">
      <w:pPr>
        <w:pStyle w:val="2"/>
        <w:tabs>
          <w:tab w:val="left" w:pos="1426"/>
        </w:tabs>
        <w:spacing w:before="193" w:line="314" w:lineRule="auto"/>
        <w:ind w:left="146" w:right="67" w:firstLine="619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u w:val="single" w:color="auto"/>
        </w:rPr>
        <w:tab/>
      </w:r>
      <w:r>
        <w:rPr>
          <w:rFonts w:hint="eastAsia" w:ascii="仿宋" w:hAnsi="仿宋" w:eastAsia="仿宋" w:cs="仿宋"/>
          <w:spacing w:val="-128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7"/>
          <w:sz w:val="30"/>
          <w:szCs w:val="30"/>
        </w:rPr>
        <w:t>子课题负责人本次只能参与1个课题投标，课题组成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5"/>
          <w:sz w:val="30"/>
          <w:szCs w:val="30"/>
        </w:rPr>
        <w:t>员最多参与2个课题投标。首席专家在组建课题组时</w:t>
      </w:r>
      <w:r>
        <w:rPr>
          <w:rFonts w:hint="eastAsia" w:ascii="仿宋" w:hAnsi="仿宋" w:eastAsia="仿宋" w:cs="仿宋"/>
          <w:spacing w:val="-6"/>
          <w:sz w:val="30"/>
          <w:szCs w:val="30"/>
        </w:rPr>
        <w:t>应严格把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7"/>
          <w:sz w:val="30"/>
          <w:szCs w:val="30"/>
        </w:rPr>
        <w:t>握相关要求，并对此负主要责任。</w:t>
      </w:r>
    </w:p>
    <w:p w14:paraId="64CD0EA1">
      <w:pPr>
        <w:pStyle w:val="2"/>
        <w:spacing w:before="8" w:line="285" w:lineRule="auto"/>
        <w:ind w:left="935" w:right="2042" w:hanging="169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-5"/>
          <w:sz w:val="30"/>
          <w:szCs w:val="30"/>
        </w:rPr>
        <w:t>7.哪些情况不能参与重大攻关项目的投标?</w:t>
      </w:r>
      <w:r>
        <w:rPr>
          <w:rFonts w:hint="eastAsia"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2"/>
          <w:sz w:val="30"/>
          <w:szCs w:val="30"/>
        </w:rPr>
        <w:t>—有以下情况之一者不得投标：</w:t>
      </w:r>
    </w:p>
    <w:p w14:paraId="6486E743">
      <w:pPr>
        <w:pStyle w:val="2"/>
        <w:spacing w:before="164" w:line="278" w:lineRule="auto"/>
        <w:ind w:left="146" w:right="46" w:firstLine="749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(1)承担国家社会科学基金重大项目、重大研究专项项</w:t>
      </w:r>
      <w:r>
        <w:rPr>
          <w:rFonts w:hint="eastAsia"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10"/>
          <w:sz w:val="30"/>
          <w:szCs w:val="30"/>
        </w:rPr>
        <w:t>目及其他国家级科研重大项目尚未完成者；</w:t>
      </w:r>
    </w:p>
    <w:p w14:paraId="0651F337">
      <w:pPr>
        <w:pStyle w:val="2"/>
        <w:spacing w:before="207" w:line="267" w:lineRule="auto"/>
        <w:ind w:left="146" w:right="20" w:firstLine="749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(2)承担历年教育部人文社会科学重点研究基地重大项</w:t>
      </w:r>
      <w:r>
        <w:rPr>
          <w:rFonts w:hint="eastAsia"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9"/>
          <w:sz w:val="30"/>
          <w:szCs w:val="30"/>
        </w:rPr>
        <w:t>目、教育部哲学社会科学研究后期资助重大项目尚未完成者；</w:t>
      </w:r>
    </w:p>
    <w:p w14:paraId="62B0552D">
      <w:pPr>
        <w:pStyle w:val="2"/>
        <w:spacing w:before="137" w:line="287" w:lineRule="auto"/>
        <w:ind w:left="146" w:firstLine="749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(3)正在承担教育部哲学社会科学研究重大课题攻关项</w:t>
      </w:r>
      <w:r>
        <w:rPr>
          <w:rFonts w:hint="eastAsia"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8"/>
          <w:sz w:val="30"/>
          <w:szCs w:val="30"/>
        </w:rPr>
        <w:t>目、高校思政课教师研究专项重大课题攻关项目的</w:t>
      </w:r>
      <w:r>
        <w:rPr>
          <w:rFonts w:hint="eastAsia" w:ascii="仿宋" w:hAnsi="仿宋" w:eastAsia="仿宋" w:cs="仿宋"/>
          <w:spacing w:val="-9"/>
          <w:sz w:val="30"/>
          <w:szCs w:val="30"/>
        </w:rPr>
        <w:t>首席专家，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7"/>
          <w:sz w:val="30"/>
          <w:szCs w:val="30"/>
        </w:rPr>
        <w:t>在本通知发布前未提出最终成果鉴定申请者。</w:t>
      </w:r>
    </w:p>
    <w:p w14:paraId="4C621447">
      <w:pPr>
        <w:pStyle w:val="2"/>
        <w:spacing w:before="194" w:line="328" w:lineRule="auto"/>
        <w:ind w:left="146" w:right="41" w:firstLine="619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3"/>
          <w:sz w:val="30"/>
          <w:szCs w:val="30"/>
        </w:rPr>
        <w:t>8.参加2026年国家社会科学基金重大项目的首席</w:t>
      </w:r>
      <w:r>
        <w:rPr>
          <w:rFonts w:hint="eastAsia" w:ascii="仿宋" w:hAnsi="仿宋" w:eastAsia="仿宋" w:cs="仿宋"/>
          <w:spacing w:val="2"/>
          <w:sz w:val="30"/>
          <w:szCs w:val="30"/>
        </w:rPr>
        <w:t>专家能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5"/>
          <w:sz w:val="30"/>
          <w:szCs w:val="30"/>
        </w:rPr>
        <w:t>投标本次教育部的重大攻关项目吗?</w:t>
      </w:r>
    </w:p>
    <w:p w14:paraId="4CE1B331">
      <w:pPr>
        <w:pStyle w:val="2"/>
        <w:tabs>
          <w:tab w:val="left" w:pos="1426"/>
        </w:tabs>
        <w:spacing w:before="4" w:line="327" w:lineRule="auto"/>
        <w:ind w:left="146" w:right="41" w:firstLine="619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u w:val="single" w:color="auto"/>
        </w:rPr>
        <w:tab/>
      </w:r>
      <w:r>
        <w:rPr>
          <w:rFonts w:hint="eastAsia" w:ascii="仿宋" w:hAnsi="仿宋" w:eastAsia="仿宋" w:cs="仿宋"/>
          <w:spacing w:val="-124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13"/>
          <w:sz w:val="30"/>
          <w:szCs w:val="30"/>
        </w:rPr>
        <w:t>不可以。同年度申请国家社会科学基金重大项目、重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2"/>
          <w:sz w:val="30"/>
          <w:szCs w:val="30"/>
        </w:rPr>
        <w:t>大研究专项项目及其他国家级科研重大项目的首席专家不能</w:t>
      </w:r>
      <w:r>
        <w:rPr>
          <w:rFonts w:hint="eastAsia"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7"/>
          <w:sz w:val="30"/>
          <w:szCs w:val="30"/>
        </w:rPr>
        <w:t>投标本次教育部的重大攻关项目。</w:t>
      </w:r>
    </w:p>
    <w:p w14:paraId="77FBFAED">
      <w:pPr>
        <w:pStyle w:val="2"/>
        <w:spacing w:before="7" w:line="221" w:lineRule="auto"/>
        <w:ind w:left="766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-4"/>
          <w:sz w:val="30"/>
          <w:szCs w:val="30"/>
        </w:rPr>
        <w:t>9.招标课题名称可以进行改动吗?</w:t>
      </w:r>
    </w:p>
    <w:p w14:paraId="6AFA2ABF">
      <w:pPr>
        <w:pStyle w:val="2"/>
        <w:tabs>
          <w:tab w:val="left" w:pos="1426"/>
        </w:tabs>
        <w:spacing w:before="177" w:line="221" w:lineRule="auto"/>
        <w:ind w:left="766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u w:val="single" w:color="auto"/>
        </w:rPr>
        <w:tab/>
      </w:r>
      <w:r>
        <w:rPr>
          <w:rFonts w:hint="eastAsia" w:ascii="仿宋" w:hAnsi="仿宋" w:eastAsia="仿宋" w:cs="仿宋"/>
          <w:spacing w:val="-13"/>
          <w:sz w:val="30"/>
          <w:szCs w:val="30"/>
        </w:rPr>
        <w:t>不可以。投标者不得自行改动投标课题名称，也不能</w:t>
      </w:r>
    </w:p>
    <w:p w14:paraId="007C362D">
      <w:pPr>
        <w:spacing w:line="221" w:lineRule="auto"/>
        <w:rPr>
          <w:rFonts w:hint="eastAsia" w:ascii="仿宋" w:hAnsi="仿宋" w:eastAsia="仿宋" w:cs="仿宋"/>
          <w:sz w:val="30"/>
          <w:szCs w:val="30"/>
        </w:rPr>
        <w:sectPr>
          <w:footerReference r:id="rId6" w:type="default"/>
          <w:pgSz w:w="12090" w:h="16970"/>
          <w:pgMar w:top="1442" w:right="1709" w:bottom="1637" w:left="1813" w:header="0" w:footer="1337" w:gutter="0"/>
          <w:cols w:space="720" w:num="1"/>
        </w:sectPr>
      </w:pPr>
    </w:p>
    <w:p w14:paraId="7C5DCB74">
      <w:pPr>
        <w:spacing w:line="384" w:lineRule="auto"/>
        <w:rPr>
          <w:rFonts w:hint="eastAsia" w:ascii="仿宋" w:hAnsi="仿宋" w:eastAsia="仿宋" w:cs="仿宋"/>
          <w:sz w:val="30"/>
          <w:szCs w:val="30"/>
        </w:rPr>
      </w:pPr>
    </w:p>
    <w:p w14:paraId="2AB185FA">
      <w:pPr>
        <w:pStyle w:val="2"/>
        <w:spacing w:before="101" w:line="222" w:lineRule="auto"/>
        <w:ind w:left="369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增加副标题。</w:t>
      </w:r>
    </w:p>
    <w:p w14:paraId="346E420E">
      <w:pPr>
        <w:pStyle w:val="2"/>
        <w:spacing w:before="166" w:line="325" w:lineRule="auto"/>
        <w:ind w:left="369" w:right="353" w:firstLine="61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-3"/>
          <w:sz w:val="30"/>
          <w:szCs w:val="30"/>
        </w:rPr>
        <w:t>10.高校思政课教师研究专项重大课题攻关项目《投标评</w:t>
      </w:r>
      <w:r>
        <w:rPr>
          <w:rFonts w:hint="eastAsia"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7"/>
          <w:sz w:val="30"/>
          <w:szCs w:val="30"/>
        </w:rPr>
        <w:t>审书》中的主要阶段性成果和最终成果填写有何注意事项?</w:t>
      </w:r>
    </w:p>
    <w:p w14:paraId="7C36C423">
      <w:pPr>
        <w:pStyle w:val="2"/>
        <w:tabs>
          <w:tab w:val="left" w:pos="1628"/>
        </w:tabs>
        <w:spacing w:before="2" w:line="314" w:lineRule="auto"/>
        <w:ind w:left="369" w:right="302" w:firstLine="61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u w:val="single" w:color="auto"/>
        </w:rPr>
        <w:tab/>
      </w:r>
      <w:r>
        <w:rPr>
          <w:rFonts w:hint="eastAsia" w:ascii="仿宋" w:hAnsi="仿宋" w:eastAsia="仿宋" w:cs="仿宋"/>
          <w:spacing w:val="-144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22"/>
          <w:sz w:val="30"/>
          <w:szCs w:val="30"/>
        </w:rPr>
        <w:t>主要阶段性成果和最终成果形式除论文或专著</w:t>
      </w:r>
      <w:r>
        <w:rPr>
          <w:rFonts w:hint="eastAsia" w:ascii="仿宋" w:hAnsi="仿宋" w:eastAsia="仿宋" w:cs="仿宋"/>
          <w:spacing w:val="-23"/>
          <w:sz w:val="30"/>
          <w:szCs w:val="30"/>
        </w:rPr>
        <w:t>外，还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22"/>
          <w:sz w:val="30"/>
          <w:szCs w:val="30"/>
        </w:rPr>
        <w:t>要结合各个选题的特点，体现为有一定规模</w:t>
      </w:r>
      <w:r>
        <w:rPr>
          <w:rFonts w:hint="eastAsia" w:ascii="仿宋" w:hAnsi="仿宋" w:eastAsia="仿宋" w:cs="仿宋"/>
          <w:spacing w:val="-23"/>
          <w:sz w:val="30"/>
          <w:szCs w:val="30"/>
        </w:rPr>
        <w:t>的研讨交流、指标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21"/>
          <w:sz w:val="30"/>
          <w:szCs w:val="30"/>
        </w:rPr>
        <w:t>体系、政策咨询报告、服务思政课教学和媒体推广等实践应用</w:t>
      </w:r>
      <w:r>
        <w:rPr>
          <w:rFonts w:hint="eastAsia"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22"/>
          <w:sz w:val="30"/>
          <w:szCs w:val="30"/>
        </w:rPr>
        <w:t>成果。需将有关成果形式一一列出。最终成果形式将作为评审</w:t>
      </w:r>
      <w:r>
        <w:rPr>
          <w:rFonts w:hint="eastAsia"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18"/>
          <w:sz w:val="30"/>
          <w:szCs w:val="30"/>
        </w:rPr>
        <w:t>的重要参考。</w:t>
      </w:r>
    </w:p>
    <w:p w14:paraId="66E3449E">
      <w:pPr>
        <w:pStyle w:val="2"/>
        <w:spacing w:before="23" w:line="222" w:lineRule="auto"/>
        <w:ind w:left="979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-23"/>
          <w:sz w:val="30"/>
          <w:szCs w:val="30"/>
        </w:rPr>
        <w:t>11.经费预算填报有何要求?</w:t>
      </w:r>
    </w:p>
    <w:p w14:paraId="7B80F1F7">
      <w:pPr>
        <w:pStyle w:val="2"/>
        <w:tabs>
          <w:tab w:val="left" w:pos="1628"/>
        </w:tabs>
        <w:spacing w:before="165" w:line="313" w:lineRule="auto"/>
        <w:ind w:left="369" w:right="210" w:firstLine="61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u w:val="single" w:color="auto"/>
        </w:rPr>
        <w:tab/>
      </w:r>
      <w:r>
        <w:rPr>
          <w:rFonts w:hint="eastAsia" w:ascii="仿宋" w:hAnsi="仿宋" w:eastAsia="仿宋" w:cs="仿宋"/>
          <w:spacing w:val="-137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22"/>
          <w:sz w:val="30"/>
          <w:szCs w:val="30"/>
        </w:rPr>
        <w:t>项目经费按照《高等学校哲学社会科学繁荣计划专项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3"/>
          <w:sz w:val="30"/>
          <w:szCs w:val="30"/>
        </w:rPr>
        <w:t>资金管理办法》(财教〔2021〕285号)使用和管理</w:t>
      </w:r>
      <w:r>
        <w:rPr>
          <w:rFonts w:hint="eastAsia" w:ascii="仿宋" w:hAnsi="仿宋" w:eastAsia="仿宋" w:cs="仿宋"/>
          <w:spacing w:val="-4"/>
          <w:sz w:val="30"/>
          <w:szCs w:val="30"/>
        </w:rPr>
        <w:t>，需按照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22"/>
          <w:sz w:val="30"/>
          <w:szCs w:val="30"/>
        </w:rPr>
        <w:t>研究实际需要和资金开支范围，科学合理、实事求是地编制项</w:t>
      </w:r>
      <w:r>
        <w:rPr>
          <w:rFonts w:hint="eastAsia"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22"/>
          <w:sz w:val="30"/>
          <w:szCs w:val="30"/>
        </w:rPr>
        <w:t>目预算。研究项目资金分为直接费用和间接费</w:t>
      </w:r>
      <w:r>
        <w:rPr>
          <w:rFonts w:hint="eastAsia" w:ascii="仿宋" w:hAnsi="仿宋" w:eastAsia="仿宋" w:cs="仿宋"/>
          <w:spacing w:val="-23"/>
          <w:sz w:val="30"/>
          <w:szCs w:val="30"/>
        </w:rPr>
        <w:t>用，直接费用是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22"/>
          <w:sz w:val="30"/>
          <w:szCs w:val="30"/>
        </w:rPr>
        <w:t>指在项目研究过程中发生的与之直接相关的费用，包括：业务</w:t>
      </w:r>
      <w:r>
        <w:rPr>
          <w:rFonts w:hint="eastAsia"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22"/>
          <w:sz w:val="30"/>
          <w:szCs w:val="30"/>
        </w:rPr>
        <w:t>费、劳务费、设备费。间接费用是指项目承担高校在组</w:t>
      </w:r>
      <w:r>
        <w:rPr>
          <w:rFonts w:hint="eastAsia" w:ascii="仿宋" w:hAnsi="仿宋" w:eastAsia="仿宋" w:cs="仿宋"/>
          <w:spacing w:val="-23"/>
          <w:sz w:val="30"/>
          <w:szCs w:val="30"/>
        </w:rPr>
        <w:t>织实施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21"/>
          <w:sz w:val="30"/>
          <w:szCs w:val="30"/>
        </w:rPr>
        <w:t>项目过程中发生的无法在直接费用中列支的相关费用，主要包</w:t>
      </w:r>
      <w:r>
        <w:rPr>
          <w:rFonts w:hint="eastAsia"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17"/>
          <w:sz w:val="30"/>
          <w:szCs w:val="30"/>
        </w:rPr>
        <w:t>括：项目承担高校为项目研究提供的房屋占用，日常水、电、</w:t>
      </w:r>
      <w:r>
        <w:rPr>
          <w:rFonts w:hint="eastAsia"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21"/>
          <w:sz w:val="30"/>
          <w:szCs w:val="30"/>
        </w:rPr>
        <w:t>气、暖等消耗，有关管理费用的补助支出，以及激励</w:t>
      </w:r>
      <w:r>
        <w:rPr>
          <w:rFonts w:hint="eastAsia" w:ascii="仿宋" w:hAnsi="仿宋" w:eastAsia="仿宋" w:cs="仿宋"/>
          <w:spacing w:val="-22"/>
          <w:sz w:val="30"/>
          <w:szCs w:val="30"/>
        </w:rPr>
        <w:t>科研人员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17"/>
          <w:sz w:val="30"/>
          <w:szCs w:val="30"/>
        </w:rPr>
        <w:t>的绩效支出等。</w:t>
      </w:r>
    </w:p>
    <w:p w14:paraId="4A202628">
      <w:pPr>
        <w:pStyle w:val="2"/>
        <w:spacing w:before="79" w:line="318" w:lineRule="auto"/>
        <w:ind w:left="369" w:firstLine="61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-8"/>
          <w:sz w:val="30"/>
          <w:szCs w:val="30"/>
        </w:rPr>
        <w:t>项目负责人应严格执行批准后的预算，后期确需调剂的，</w:t>
      </w:r>
      <w:r>
        <w:rPr>
          <w:rFonts w:hint="eastAsia"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-22"/>
          <w:sz w:val="30"/>
          <w:szCs w:val="30"/>
        </w:rPr>
        <w:t>应当按照有关规定履行单位内部调整审批程序，并通过教育部</w:t>
      </w:r>
      <w:r>
        <w:rPr>
          <w:rFonts w:hint="eastAsia" w:ascii="仿宋" w:hAnsi="仿宋" w:eastAsia="仿宋" w:cs="仿宋"/>
          <w:sz w:val="30"/>
          <w:szCs w:val="30"/>
        </w:rPr>
        <w:t xml:space="preserve">   </w:t>
      </w:r>
      <w:r>
        <w:rPr>
          <w:rFonts w:hint="eastAsia" w:ascii="仿宋" w:hAnsi="仿宋" w:eastAsia="仿宋" w:cs="仿宋"/>
          <w:spacing w:val="-22"/>
          <w:sz w:val="30"/>
          <w:szCs w:val="30"/>
        </w:rPr>
        <w:t>人文社会科学研究管理平台项目中后期管理系统备案。间接费</w:t>
      </w:r>
      <w:r>
        <w:rPr>
          <w:rFonts w:hint="eastAsia" w:ascii="仿宋" w:hAnsi="仿宋" w:eastAsia="仿宋" w:cs="仿宋"/>
          <w:spacing w:val="3"/>
          <w:sz w:val="30"/>
          <w:szCs w:val="30"/>
        </w:rPr>
        <w:t xml:space="preserve">   </w:t>
      </w:r>
      <w:r>
        <w:rPr>
          <w:rFonts w:hint="eastAsia" w:ascii="仿宋" w:hAnsi="仿宋" w:eastAsia="仿宋" w:cs="仿宋"/>
          <w:spacing w:val="-21"/>
          <w:sz w:val="30"/>
          <w:szCs w:val="30"/>
        </w:rPr>
        <w:t>用由项目承担高校统筹安排使用。项目承担高校应当公开透明、</w:t>
      </w:r>
    </w:p>
    <w:p w14:paraId="203F267E">
      <w:pPr>
        <w:spacing w:line="318" w:lineRule="auto"/>
        <w:rPr>
          <w:rFonts w:hint="eastAsia" w:ascii="仿宋" w:hAnsi="仿宋" w:eastAsia="仿宋" w:cs="仿宋"/>
          <w:sz w:val="30"/>
          <w:szCs w:val="30"/>
        </w:rPr>
        <w:sectPr>
          <w:footerReference r:id="rId7" w:type="default"/>
          <w:pgSz w:w="12270" w:h="17090"/>
          <w:pgMar w:top="1452" w:right="1394" w:bottom="1484" w:left="1840" w:header="0" w:footer="1268" w:gutter="0"/>
          <w:cols w:space="720" w:num="1"/>
        </w:sectPr>
      </w:pPr>
    </w:p>
    <w:p w14:paraId="522D6430">
      <w:pPr>
        <w:spacing w:line="288" w:lineRule="auto"/>
        <w:rPr>
          <w:rFonts w:hint="eastAsia" w:ascii="仿宋" w:hAnsi="仿宋" w:eastAsia="仿宋" w:cs="仿宋"/>
          <w:sz w:val="30"/>
          <w:szCs w:val="30"/>
        </w:rPr>
      </w:pPr>
    </w:p>
    <w:p w14:paraId="4D9CAC22">
      <w:pPr>
        <w:pStyle w:val="2"/>
        <w:spacing w:before="98" w:line="339" w:lineRule="auto"/>
        <w:ind w:left="33" w:right="72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10"/>
          <w:sz w:val="30"/>
          <w:szCs w:val="30"/>
        </w:rPr>
        <w:t>合理合规使用间接费用，处理好分摊间接成本和对科研</w:t>
      </w:r>
      <w:r>
        <w:rPr>
          <w:rFonts w:hint="eastAsia" w:ascii="仿宋" w:hAnsi="仿宋" w:eastAsia="仿宋" w:cs="仿宋"/>
          <w:spacing w:val="9"/>
          <w:sz w:val="30"/>
          <w:szCs w:val="30"/>
        </w:rPr>
        <w:t>人员激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10"/>
          <w:sz w:val="30"/>
          <w:szCs w:val="30"/>
        </w:rPr>
        <w:t>励的关系。绩效支出安排应当与科研人员在研究工作中的实际</w:t>
      </w:r>
      <w:r>
        <w:rPr>
          <w:rFonts w:hint="eastAsia"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10"/>
          <w:sz w:val="30"/>
          <w:szCs w:val="30"/>
        </w:rPr>
        <w:t>贡献挂钩，可以将间接费用全部用于绩效支出，并向创</w:t>
      </w:r>
      <w:r>
        <w:rPr>
          <w:rFonts w:hint="eastAsia" w:ascii="仿宋" w:hAnsi="仿宋" w:eastAsia="仿宋" w:cs="仿宋"/>
          <w:spacing w:val="9"/>
          <w:sz w:val="30"/>
          <w:szCs w:val="30"/>
        </w:rPr>
        <w:t>新绩效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9"/>
          <w:sz w:val="30"/>
          <w:szCs w:val="30"/>
        </w:rPr>
        <w:t>突出的团队和个人倾斜。</w:t>
      </w:r>
    </w:p>
    <w:p w14:paraId="63B9B066">
      <w:pPr>
        <w:pStyle w:val="2"/>
        <w:spacing w:before="98" w:line="333" w:lineRule="auto"/>
        <w:ind w:left="33" w:right="32" w:firstLine="670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10"/>
          <w:sz w:val="30"/>
          <w:szCs w:val="30"/>
        </w:rPr>
        <w:t>跨单位合作的科研活动，确需外拨资金的，应当</w:t>
      </w:r>
      <w:r>
        <w:rPr>
          <w:rFonts w:hint="eastAsia" w:ascii="仿宋" w:hAnsi="仿宋" w:eastAsia="仿宋" w:cs="仿宋"/>
          <w:spacing w:val="9"/>
          <w:sz w:val="30"/>
          <w:szCs w:val="30"/>
        </w:rPr>
        <w:t>在预算中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10"/>
          <w:sz w:val="30"/>
          <w:szCs w:val="30"/>
        </w:rPr>
        <w:t>单独列示，并对合作研究单位资质、承担的研究任务、外拨资 金额度等进行说明。间接费用外拨金额，由项目承担高校和合</w:t>
      </w:r>
      <w:r>
        <w:rPr>
          <w:rFonts w:hint="eastAsia" w:ascii="仿宋" w:hAnsi="仿宋" w:eastAsia="仿宋" w:cs="仿宋"/>
          <w:spacing w:val="15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10"/>
          <w:sz w:val="30"/>
          <w:szCs w:val="30"/>
        </w:rPr>
        <w:t>作研究单位协商确定。</w:t>
      </w:r>
    </w:p>
    <w:p w14:paraId="71DAADA1">
      <w:pPr>
        <w:pStyle w:val="2"/>
        <w:spacing w:before="79" w:line="219" w:lineRule="auto"/>
        <w:ind w:left="703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11"/>
          <w:sz w:val="30"/>
          <w:szCs w:val="30"/>
        </w:rPr>
        <w:t>12.申报方式及材料报送要求是怎样的?</w:t>
      </w:r>
    </w:p>
    <w:p w14:paraId="5643A823">
      <w:pPr>
        <w:pStyle w:val="2"/>
        <w:tabs>
          <w:tab w:val="left" w:pos="182"/>
          <w:tab w:val="left" w:pos="202"/>
        </w:tabs>
        <w:spacing w:before="174" w:line="329" w:lineRule="auto"/>
        <w:ind w:left="33" w:right="11" w:firstLine="64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color w:val="101050"/>
          <w:spacing w:val="15"/>
          <w:sz w:val="30"/>
          <w:szCs w:val="30"/>
        </w:rPr>
        <w:t>——</w:t>
      </w:r>
      <w:r>
        <w:rPr>
          <w:rFonts w:hint="eastAsia" w:ascii="仿宋" w:hAnsi="仿宋" w:eastAsia="仿宋" w:cs="仿宋"/>
          <w:color w:val="101050"/>
          <w:spacing w:val="-79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15"/>
          <w:sz w:val="30"/>
          <w:szCs w:val="30"/>
        </w:rPr>
        <w:t>本次项目投标通过网络平台在线申报。</w:t>
      </w:r>
      <w:r>
        <w:rPr>
          <w:rFonts w:hint="eastAsia" w:ascii="仿宋" w:hAnsi="仿宋" w:eastAsia="仿宋" w:cs="仿宋"/>
          <w:spacing w:val="-40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15"/>
          <w:sz w:val="30"/>
          <w:szCs w:val="30"/>
        </w:rPr>
        <w:t>2026年10月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21"/>
          <w:sz w:val="30"/>
          <w:szCs w:val="30"/>
        </w:rPr>
        <w:t>22日开始，各高校科研管理部门登录教育部社会科学司主页</w:t>
      </w:r>
      <w:r>
        <w:rPr>
          <w:rFonts w:hint="eastAsia"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ab/>
      </w:r>
      <w:r>
        <w:rPr>
          <w:rFonts w:hint="eastAsia" w:ascii="仿宋" w:hAnsi="仿宋" w:eastAsia="仿宋" w:cs="仿宋"/>
          <w:sz w:val="30"/>
          <w:szCs w:val="30"/>
        </w:rPr>
        <w:tab/>
      </w:r>
      <w:r>
        <w:rPr>
          <w:rFonts w:hint="eastAsia" w:ascii="仿宋" w:hAnsi="仿宋" w:eastAsia="仿宋" w:cs="仿宋"/>
          <w:spacing w:val="5"/>
          <w:sz w:val="30"/>
          <w:szCs w:val="30"/>
        </w:rPr>
        <w:t>(</w:t>
      </w:r>
      <w:r>
        <w:rPr>
          <w:rFonts w:hint="eastAsia" w:ascii="仿宋" w:hAnsi="仿宋" w:eastAsia="仿宋" w:cs="仿宋"/>
          <w:spacing w:val="-70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fldChar w:fldCharType="begin"/>
      </w:r>
      <w:r>
        <w:rPr>
          <w:rFonts w:hint="eastAsia" w:ascii="仿宋" w:hAnsi="仿宋" w:eastAsia="仿宋" w:cs="仿宋"/>
          <w:sz w:val="30"/>
          <w:szCs w:val="30"/>
        </w:rPr>
        <w:instrText xml:space="preserve"> HYPERLINK "https://www.moe.gov.cn/s78/A13/" </w:instrText>
      </w:r>
      <w:r>
        <w:rPr>
          <w:rFonts w:hint="eastAsia" w:ascii="仿宋" w:hAnsi="仿宋" w:eastAsia="仿宋" w:cs="仿宋"/>
          <w:sz w:val="30"/>
          <w:szCs w:val="30"/>
        </w:rPr>
        <w:fldChar w:fldCharType="separate"/>
      </w:r>
      <w:r>
        <w:rPr>
          <w:rFonts w:hint="eastAsia" w:ascii="仿宋" w:hAnsi="仿宋" w:eastAsia="仿宋" w:cs="仿宋"/>
          <w:sz w:val="30"/>
          <w:szCs w:val="30"/>
        </w:rPr>
        <w:t>www</w:t>
      </w:r>
      <w:r>
        <w:rPr>
          <w:rFonts w:hint="eastAsia" w:ascii="仿宋" w:hAnsi="仿宋" w:eastAsia="仿宋" w:cs="仿宋"/>
          <w:spacing w:val="5"/>
          <w:sz w:val="30"/>
          <w:szCs w:val="30"/>
        </w:rPr>
        <w:t>.</w:t>
      </w:r>
      <w:r>
        <w:rPr>
          <w:rFonts w:hint="eastAsia" w:ascii="仿宋" w:hAnsi="仿宋" w:eastAsia="仿宋" w:cs="仿宋"/>
          <w:sz w:val="30"/>
          <w:szCs w:val="30"/>
        </w:rPr>
        <w:t>moe</w:t>
      </w:r>
      <w:r>
        <w:rPr>
          <w:rFonts w:hint="eastAsia" w:ascii="仿宋" w:hAnsi="仿宋" w:eastAsia="仿宋" w:cs="仿宋"/>
          <w:spacing w:val="5"/>
          <w:sz w:val="30"/>
          <w:szCs w:val="30"/>
        </w:rPr>
        <w:t>.</w:t>
      </w:r>
      <w:r>
        <w:rPr>
          <w:rFonts w:hint="eastAsia" w:ascii="仿宋" w:hAnsi="仿宋" w:eastAsia="仿宋" w:cs="仿宋"/>
          <w:sz w:val="30"/>
          <w:szCs w:val="30"/>
        </w:rPr>
        <w:t>gov</w:t>
      </w:r>
      <w:r>
        <w:rPr>
          <w:rFonts w:hint="eastAsia" w:ascii="仿宋" w:hAnsi="仿宋" w:eastAsia="仿宋" w:cs="仿宋"/>
          <w:spacing w:val="5"/>
          <w:sz w:val="30"/>
          <w:szCs w:val="30"/>
        </w:rPr>
        <w:t>.</w:t>
      </w:r>
      <w:r>
        <w:rPr>
          <w:rFonts w:hint="eastAsia" w:ascii="仿宋" w:hAnsi="仿宋" w:eastAsia="仿宋" w:cs="仿宋"/>
          <w:sz w:val="30"/>
          <w:szCs w:val="30"/>
        </w:rPr>
        <w:t>cn</w:t>
      </w:r>
      <w:r>
        <w:rPr>
          <w:rFonts w:hint="eastAsia" w:ascii="仿宋" w:hAnsi="仿宋" w:eastAsia="仿宋" w:cs="仿宋"/>
          <w:spacing w:val="5"/>
          <w:sz w:val="30"/>
          <w:szCs w:val="30"/>
        </w:rPr>
        <w:t>/s78/A13/</w:t>
      </w:r>
      <w:r>
        <w:rPr>
          <w:rFonts w:hint="eastAsia" w:ascii="仿宋" w:hAnsi="仿宋" w:eastAsia="仿宋" w:cs="仿宋"/>
          <w:spacing w:val="5"/>
          <w:sz w:val="30"/>
          <w:szCs w:val="30"/>
        </w:rPr>
        <w:fldChar w:fldCharType="end"/>
      </w:r>
      <w:r>
        <w:rPr>
          <w:rFonts w:hint="eastAsia" w:ascii="仿宋" w:hAnsi="仿宋" w:eastAsia="仿宋" w:cs="仿宋"/>
          <w:spacing w:val="5"/>
          <w:sz w:val="30"/>
          <w:szCs w:val="30"/>
        </w:rPr>
        <w:t>)     “</w:t>
      </w:r>
      <w:r>
        <w:rPr>
          <w:rFonts w:hint="eastAsia" w:ascii="仿宋" w:hAnsi="仿宋" w:eastAsia="仿宋" w:cs="仿宋"/>
          <w:spacing w:val="-19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5"/>
          <w:sz w:val="30"/>
          <w:szCs w:val="30"/>
        </w:rPr>
        <w:t>教育部人文社会科学研究管理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7"/>
          <w:sz w:val="30"/>
          <w:szCs w:val="30"/>
        </w:rPr>
        <w:t>平台 ·</w:t>
      </w:r>
      <w:r>
        <w:rPr>
          <w:rFonts w:hint="eastAsia" w:ascii="仿宋" w:hAnsi="仿宋" w:eastAsia="仿宋" w:cs="仿宋"/>
          <w:spacing w:val="-53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7"/>
          <w:sz w:val="30"/>
          <w:szCs w:val="30"/>
        </w:rPr>
        <w:t>申报系统”(以下简称申报系统),在相应类别的项目申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22"/>
          <w:sz w:val="30"/>
          <w:szCs w:val="30"/>
        </w:rPr>
        <w:t>报模块在线填报投标项目基本信息，并分别上传签字盖章的</w:t>
      </w:r>
      <w:r>
        <w:rPr>
          <w:rFonts w:hint="eastAsia"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PDF</w:t>
      </w:r>
      <w:r>
        <w:rPr>
          <w:rFonts w:hint="eastAsia" w:ascii="仿宋" w:hAnsi="仿宋" w:eastAsia="仿宋" w:cs="仿宋"/>
          <w:spacing w:val="17"/>
          <w:sz w:val="30"/>
          <w:szCs w:val="30"/>
        </w:rPr>
        <w:t xml:space="preserve"> 版本《投标评审书》(文件大小不超过20M)  及附件材料</w:t>
      </w:r>
      <w:r>
        <w:rPr>
          <w:rFonts w:hint="eastAsia"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ab/>
      </w:r>
      <w:r>
        <w:rPr>
          <w:rFonts w:hint="eastAsia" w:ascii="仿宋" w:hAnsi="仿宋" w:eastAsia="仿宋" w:cs="仿宋"/>
          <w:spacing w:val="18"/>
          <w:sz w:val="30"/>
          <w:szCs w:val="30"/>
        </w:rPr>
        <w:t>(文件大小不超过80M)。</w:t>
      </w:r>
    </w:p>
    <w:p w14:paraId="10173559">
      <w:pPr>
        <w:pStyle w:val="2"/>
        <w:spacing w:before="148" w:line="322" w:lineRule="auto"/>
        <w:ind w:left="33" w:firstLine="670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pacing w:val="9"/>
          <w:sz w:val="30"/>
          <w:szCs w:val="30"/>
        </w:rPr>
        <w:t>申报阶段无需报送各投标项目的纸质申报材料</w:t>
      </w:r>
      <w:r>
        <w:rPr>
          <w:rFonts w:hint="eastAsia" w:ascii="仿宋" w:hAnsi="仿宋" w:eastAsia="仿宋" w:cs="仿宋"/>
          <w:spacing w:val="8"/>
          <w:sz w:val="30"/>
          <w:szCs w:val="30"/>
        </w:rPr>
        <w:t>，待立项公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18"/>
          <w:sz w:val="30"/>
          <w:szCs w:val="30"/>
        </w:rPr>
        <w:t>布后，已立项项目按要求寄送1份签字盖章的纸质申报材料。</w:t>
      </w:r>
      <w:r>
        <w:rPr>
          <w:rFonts w:hint="eastAsia" w:ascii="仿宋" w:hAnsi="仿宋" w:eastAsia="仿宋" w:cs="仿宋"/>
          <w:spacing w:val="13"/>
          <w:sz w:val="30"/>
          <w:szCs w:val="30"/>
        </w:rPr>
        <w:t xml:space="preserve"> </w:t>
      </w:r>
    </w:p>
    <w:sectPr>
      <w:footerReference r:id="rId8" w:type="default"/>
      <w:pgSz w:w="11910" w:h="16840"/>
      <w:pgMar w:top="1431" w:right="1640" w:bottom="1561" w:left="1786" w:header="0" w:footer="130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LiSu">
    <w:altName w:val="宋体"/>
    <w:panose1 w:val="0201050906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3E4C52">
    <w:pPr>
      <w:spacing w:line="171" w:lineRule="auto"/>
      <w:ind w:left="532"/>
      <w:rPr>
        <w:rFonts w:ascii="宋体" w:hAnsi="宋体" w:eastAsia="宋体" w:cs="宋体"/>
        <w:sz w:val="22"/>
        <w:szCs w:val="22"/>
      </w:rPr>
    </w:pPr>
    <w:r>
      <w:rPr>
        <w:rFonts w:ascii="宋体" w:hAnsi="宋体" w:eastAsia="宋体" w:cs="宋体"/>
        <w:color w:val="104080"/>
        <w:spacing w:val="-3"/>
        <w:sz w:val="22"/>
        <w:szCs w:val="22"/>
      </w:rPr>
      <w:t>—</w:t>
    </w:r>
    <w:r>
      <w:rPr>
        <w:rFonts w:ascii="宋体" w:hAnsi="宋体" w:eastAsia="宋体" w:cs="宋体"/>
        <w:color w:val="104080"/>
        <w:spacing w:val="77"/>
        <w:sz w:val="22"/>
        <w:szCs w:val="22"/>
      </w:rPr>
      <w:t xml:space="preserve"> </w:t>
    </w:r>
    <w:r>
      <w:rPr>
        <w:rFonts w:ascii="Times New Roman" w:hAnsi="Times New Roman" w:eastAsia="Times New Roman" w:cs="Times New Roman"/>
        <w:color w:val="102040"/>
        <w:spacing w:val="-3"/>
        <w:sz w:val="22"/>
        <w:szCs w:val="22"/>
      </w:rPr>
      <w:t>40</w:t>
    </w:r>
    <w:r>
      <w:rPr>
        <w:rFonts w:ascii="Times New Roman" w:hAnsi="Times New Roman" w:eastAsia="Times New Roman" w:cs="Times New Roman"/>
        <w:color w:val="102040"/>
        <w:spacing w:val="12"/>
        <w:sz w:val="22"/>
        <w:szCs w:val="22"/>
      </w:rPr>
      <w:t xml:space="preserve">   </w:t>
    </w:r>
    <w:r>
      <w:rPr>
        <w:rFonts w:ascii="宋体" w:hAnsi="宋体" w:eastAsia="宋体" w:cs="宋体"/>
        <w:color w:val="103090"/>
        <w:spacing w:val="-3"/>
        <w:sz w:val="22"/>
        <w:szCs w:val="22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BEA4BF">
    <w:pPr>
      <w:spacing w:before="1" w:line="232" w:lineRule="auto"/>
      <w:ind w:left="7176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2"/>
        <w:sz w:val="23"/>
        <w:szCs w:val="23"/>
      </w:rPr>
      <w:t>—41—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CFC189">
    <w:pPr>
      <w:spacing w:line="179" w:lineRule="auto"/>
      <w:ind w:left="579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1"/>
        <w:sz w:val="24"/>
        <w:szCs w:val="24"/>
      </w:rPr>
      <w:t>—42</w:t>
    </w:r>
    <w:r>
      <w:rPr>
        <w:rFonts w:ascii="Times New Roman" w:hAnsi="Times New Roman" w:eastAsia="Times New Roman" w:cs="Times New Roman"/>
        <w:spacing w:val="7"/>
        <w:sz w:val="24"/>
        <w:szCs w:val="24"/>
      </w:rPr>
      <w:t xml:space="preserve">     </w:t>
    </w:r>
    <w:r>
      <w:rPr>
        <w:rFonts w:ascii="Times New Roman" w:hAnsi="Times New Roman" w:eastAsia="Times New Roman" w:cs="Times New Roman"/>
        <w:spacing w:val="1"/>
        <w:sz w:val="24"/>
        <w:szCs w:val="24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D1ADEB">
    <w:pPr>
      <w:spacing w:line="173" w:lineRule="auto"/>
      <w:ind w:left="7323"/>
      <w:rPr>
        <w:rFonts w:ascii="LiSu" w:hAnsi="LiSu" w:eastAsia="LiSu" w:cs="LiSu"/>
        <w:sz w:val="9"/>
        <w:szCs w:val="9"/>
      </w:rPr>
    </w:pPr>
    <w:r>
      <w:rPr>
        <w:rFonts w:ascii="宋体" w:hAnsi="宋体" w:eastAsia="宋体" w:cs="宋体"/>
        <w:color w:val="1020B0"/>
        <w:spacing w:val="-4"/>
        <w:sz w:val="26"/>
        <w:szCs w:val="26"/>
      </w:rPr>
      <w:t>-</w:t>
    </w:r>
    <w:r>
      <w:rPr>
        <w:rFonts w:ascii="宋体" w:hAnsi="宋体" w:eastAsia="宋体" w:cs="宋体"/>
        <w:color w:val="1020B0"/>
        <w:spacing w:val="120"/>
        <w:sz w:val="26"/>
        <w:szCs w:val="26"/>
      </w:rPr>
      <w:t xml:space="preserve"> </w:t>
    </w:r>
    <w:r>
      <w:rPr>
        <w:rFonts w:ascii="Times New Roman" w:hAnsi="Times New Roman" w:eastAsia="Times New Roman" w:cs="Times New Roman"/>
        <w:spacing w:val="-4"/>
        <w:sz w:val="26"/>
        <w:szCs w:val="26"/>
      </w:rPr>
      <w:t>43</w:t>
    </w:r>
    <w:r>
      <w:rPr>
        <w:rFonts w:ascii="Times New Roman" w:hAnsi="Times New Roman" w:eastAsia="Times New Roman" w:cs="Times New Roman"/>
        <w:spacing w:val="27"/>
        <w:sz w:val="26"/>
        <w:szCs w:val="26"/>
      </w:rPr>
      <w:t xml:space="preserve">  </w:t>
    </w:r>
    <w:r>
      <w:rPr>
        <w:rFonts w:ascii="LiSu" w:hAnsi="LiSu" w:eastAsia="LiSu" w:cs="LiSu"/>
        <w:spacing w:val="-4"/>
        <w:position w:val="7"/>
        <w:sz w:val="9"/>
        <w:szCs w:val="9"/>
      </w:rPr>
      <w:t>一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9B124FA"/>
    <w:rsid w:val="6D8A55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1827</Words>
  <Characters>1896</Characters>
  <TotalTime>0</TotalTime>
  <ScaleCrop>false</ScaleCrop>
  <LinksUpToDate>false</LinksUpToDate>
  <CharactersWithSpaces>1992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2026-11-02T15:42:00Z</dcterms:created>
  <dc:creator>Administrator</dc:creator>
  <cp:lastModifiedBy>刘赵为</cp:lastModifiedBy>
  <dcterms:modified xsi:type="dcterms:W3CDTF">2026-11-02T08:37:59Z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2026-11-02T15:42:27Z</vt:filetime>
  </property>
  <property fmtid="{D5CDD505-2E9C-101B-9397-08002B2CF9AE}" pid="4" name="UsrData">
    <vt:lpwstr>6ae83edfe46998001fb1f6ddwl</vt:lpwstr>
  </property>
  <property fmtid="{D5CDD505-2E9C-101B-9397-08002B2CF9AE}" pid="5" name="KSOTemplateDocerSaveRecord">
    <vt:lpwstr>eyJoZGlkIjoiMDRjYjU4MDQ5NTVmNGZmYTI1ZmU4OGNkMzNkNTk2NWMiLCJ1c2VySWQiOiI3ODEzNjE4NjcifQ==</vt:lpwstr>
  </property>
  <property fmtid="{D5CDD505-2E9C-101B-9397-08002B2CF9AE}" pid="6" name="KSOProductBuildVer">
    <vt:lpwstr>2052-12.1.0.28505</vt:lpwstr>
  </property>
  <property fmtid="{D5CDD505-2E9C-101B-9397-08002B2CF9AE}" pid="7" name="ICV">
    <vt:lpwstr>74D262165F084D42883E92A9BBFD8A60_12</vt:lpwstr>
  </property>
</Properties>
</file>