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0F9C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中宋" w:hAnsi="华文中宋" w:eastAsia="华文中宋" w:cs="宋体"/>
          <w:b/>
          <w:bCs w:val="0"/>
          <w:color w:val="auto"/>
          <w:sz w:val="44"/>
          <w:szCs w:val="44"/>
        </w:rPr>
      </w:pPr>
      <w:r>
        <w:rPr>
          <w:rFonts w:hint="eastAsia" w:ascii="华文中宋" w:hAnsi="华文中宋" w:eastAsia="华文中宋" w:cs="宋体"/>
          <w:b/>
          <w:bCs w:val="0"/>
          <w:color w:val="auto"/>
          <w:sz w:val="44"/>
          <w:szCs w:val="44"/>
          <w:lang w:eastAsia="zh-CN"/>
        </w:rPr>
        <w:t>《</w:t>
      </w:r>
      <w:r>
        <w:rPr>
          <w:rFonts w:hint="eastAsia" w:ascii="华文中宋" w:hAnsi="华文中宋" w:eastAsia="华文中宋" w:cs="宋体"/>
          <w:b/>
          <w:bCs w:val="0"/>
          <w:color w:val="auto"/>
          <w:sz w:val="44"/>
          <w:szCs w:val="44"/>
        </w:rPr>
        <w:t>湖南女子学院普通全日制学生转专业</w:t>
      </w:r>
    </w:p>
    <w:p w14:paraId="4CA62A6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华文中宋" w:hAnsi="华文中宋" w:eastAsia="华文中宋"/>
          <w:b/>
          <w:bCs w:val="0"/>
          <w:color w:val="auto"/>
          <w:sz w:val="44"/>
          <w:szCs w:val="44"/>
        </w:rPr>
      </w:pPr>
      <w:r>
        <w:rPr>
          <w:rFonts w:hint="eastAsia" w:ascii="华文中宋" w:hAnsi="华文中宋" w:eastAsia="华文中宋" w:cs="宋体"/>
          <w:b/>
          <w:bCs w:val="0"/>
          <w:color w:val="auto"/>
          <w:sz w:val="44"/>
          <w:szCs w:val="44"/>
        </w:rPr>
        <w:t>管理办法</w:t>
      </w:r>
      <w:r>
        <w:rPr>
          <w:rFonts w:hint="eastAsia" w:ascii="华文中宋" w:hAnsi="华文中宋" w:eastAsia="华文中宋" w:cs="宋体"/>
          <w:b/>
          <w:bCs w:val="0"/>
          <w:color w:val="auto"/>
          <w:sz w:val="44"/>
          <w:szCs w:val="44"/>
          <w:lang w:eastAsia="zh-CN"/>
        </w:rPr>
        <w:t>》</w:t>
      </w:r>
      <w:r>
        <w:rPr>
          <w:rFonts w:hint="eastAsia" w:ascii="华文中宋" w:hAnsi="华文中宋" w:eastAsia="华文中宋"/>
          <w:b/>
          <w:bCs w:val="0"/>
          <w:color w:val="auto"/>
          <w:sz w:val="44"/>
          <w:szCs w:val="44"/>
        </w:rPr>
        <w:t>（修订）</w:t>
      </w:r>
    </w:p>
    <w:p w14:paraId="5F0C1A7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right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 </w:t>
      </w:r>
      <w:bookmarkStart w:id="0" w:name="Fwbh"/>
    </w:p>
    <w:bookmarkEnd w:id="0"/>
    <w:p w14:paraId="603D524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right"/>
        <w:rPr>
          <w:rFonts w:hint="default" w:ascii="仿宋_GB2312" w:eastAsia="仿宋_GB2312" w:cs="仿宋_GB2312"/>
          <w:color w:val="000000"/>
          <w:sz w:val="32"/>
          <w:szCs w:val="32"/>
        </w:rPr>
      </w:pPr>
      <w:bookmarkStart w:id="1" w:name="_Toc527046687"/>
      <w:r>
        <w:rPr>
          <w:rFonts w:hint="default" w:ascii="仿宋_GB2312" w:eastAsia="仿宋_GB2312" w:cs="仿宋_GB2312"/>
          <w:color w:val="000000"/>
          <w:sz w:val="32"/>
          <w:szCs w:val="32"/>
        </w:rPr>
        <w:t>湘女院行字〔202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47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 xml:space="preserve"> 号</w:t>
      </w:r>
    </w:p>
    <w:p w14:paraId="4732AF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right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23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日印发</w:t>
      </w:r>
      <w:bookmarkEnd w:id="1"/>
    </w:p>
    <w:p w14:paraId="01968E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right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51E024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415"/>
        <w:textAlignment w:val="auto"/>
      </w:pPr>
      <w:r>
        <w:rPr>
          <w:b/>
          <w:bCs/>
          <w:spacing w:val="-9"/>
        </w:rPr>
        <w:t>第一章</w:t>
      </w:r>
      <w:r>
        <w:rPr>
          <w:spacing w:val="23"/>
        </w:rPr>
        <w:t xml:space="preserve">  </w:t>
      </w:r>
      <w:r>
        <w:rPr>
          <w:b/>
          <w:bCs/>
          <w:spacing w:val="-9"/>
        </w:rPr>
        <w:t>总</w:t>
      </w:r>
      <w:r>
        <w:rPr>
          <w:spacing w:val="19"/>
        </w:rPr>
        <w:t xml:space="preserve">  </w:t>
      </w:r>
      <w:r>
        <w:rPr>
          <w:b/>
          <w:bCs/>
          <w:spacing w:val="-9"/>
        </w:rPr>
        <w:t>则</w:t>
      </w:r>
    </w:p>
    <w:p w14:paraId="0458555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" w:right="4" w:firstLine="696"/>
        <w:textAlignment w:val="auto"/>
      </w:pPr>
      <w:r>
        <w:rPr>
          <w:b/>
          <w:bCs/>
          <w:spacing w:val="2"/>
        </w:rPr>
        <w:t>第一条</w:t>
      </w:r>
      <w:r>
        <w:rPr>
          <w:spacing w:val="2"/>
        </w:rPr>
        <w:t xml:space="preserve">  为充分体现“</w:t>
      </w:r>
      <w:r>
        <w:rPr>
          <w:spacing w:val="-88"/>
        </w:rPr>
        <w:t xml:space="preserve"> </w:t>
      </w:r>
      <w:r>
        <w:rPr>
          <w:spacing w:val="2"/>
        </w:rPr>
        <w:t>以人为本</w:t>
      </w:r>
      <w:r>
        <w:rPr>
          <w:spacing w:val="-112"/>
        </w:rPr>
        <w:t xml:space="preserve"> </w:t>
      </w:r>
      <w:r>
        <w:rPr>
          <w:spacing w:val="2"/>
        </w:rPr>
        <w:t>”的育人理念，尊重学生</w:t>
      </w:r>
      <w:r>
        <w:rPr>
          <w:spacing w:val="9"/>
        </w:rPr>
        <w:t>个性、特长发展需要，进一步调动学生学习积极性和主动性，根据《普通高等学校学生管理规定》（中华人民共和国教育部</w:t>
      </w:r>
      <w:r>
        <w:rPr>
          <w:spacing w:val="5"/>
        </w:rPr>
        <w:t>令第41</w:t>
      </w:r>
      <w:r>
        <w:rPr>
          <w:spacing w:val="-45"/>
        </w:rPr>
        <w:t xml:space="preserve"> </w:t>
      </w:r>
      <w:r>
        <w:rPr>
          <w:spacing w:val="5"/>
        </w:rPr>
        <w:t>号）、《关于规范湖南省普通高校学生在校期间转专业</w:t>
      </w:r>
      <w:r>
        <w:rPr>
          <w:spacing w:val="3"/>
        </w:rPr>
        <w:t>的指导意见（试行）》（湘教发〔2026〕13 号）和《湖南女子</w:t>
      </w:r>
      <w:r>
        <w:rPr>
          <w:spacing w:val="9"/>
        </w:rPr>
        <w:t>学院学生学籍管理规定》，结合我校实际，</w:t>
      </w:r>
      <w:r>
        <w:rPr>
          <w:spacing w:val="8"/>
        </w:rPr>
        <w:t>特制定本办法。</w:t>
      </w:r>
    </w:p>
    <w:p w14:paraId="0F3CD3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1" w:right="7" w:firstLine="676"/>
        <w:textAlignment w:val="auto"/>
      </w:pPr>
      <w:r>
        <w:rPr>
          <w:b/>
          <w:bCs/>
          <w:spacing w:val="15"/>
        </w:rPr>
        <w:t>第二条</w:t>
      </w:r>
      <w:r>
        <w:rPr>
          <w:spacing w:val="15"/>
        </w:rPr>
        <w:t xml:space="preserve">  申请转专业的学生须为我校在籍</w:t>
      </w:r>
      <w:r>
        <w:rPr>
          <w:spacing w:val="14"/>
        </w:rPr>
        <w:t>普通全</w:t>
      </w:r>
      <w:r>
        <w:rPr>
          <w:spacing w:val="-52"/>
        </w:rPr>
        <w:t xml:space="preserve"> </w:t>
      </w:r>
      <w:r>
        <w:rPr>
          <w:spacing w:val="14"/>
        </w:rPr>
        <w:t>日制学</w:t>
      </w:r>
      <w:r>
        <w:rPr>
          <w:spacing w:val="-16"/>
        </w:rPr>
        <w:t>生。</w:t>
      </w:r>
    </w:p>
    <w:p w14:paraId="1B5C0E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093"/>
        <w:textAlignment w:val="auto"/>
      </w:pPr>
      <w:r>
        <w:rPr>
          <w:b/>
          <w:bCs/>
          <w:spacing w:val="-1"/>
        </w:rPr>
        <w:t>第二章</w:t>
      </w:r>
      <w:r>
        <w:rPr>
          <w:spacing w:val="21"/>
        </w:rPr>
        <w:t xml:space="preserve">  </w:t>
      </w:r>
      <w:r>
        <w:rPr>
          <w:b/>
          <w:bCs/>
          <w:spacing w:val="-1"/>
        </w:rPr>
        <w:t>转专业条件</w:t>
      </w:r>
    </w:p>
    <w:p w14:paraId="55C670D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" w:right="7" w:firstLine="691"/>
        <w:textAlignment w:val="auto"/>
      </w:pPr>
      <w:r>
        <w:rPr>
          <w:b/>
          <w:bCs/>
          <w:spacing w:val="6"/>
        </w:rPr>
        <w:t>第三条</w:t>
      </w:r>
      <w:r>
        <w:rPr>
          <w:spacing w:val="6"/>
        </w:rPr>
        <w:t xml:space="preserve">  转专业应经学生本人申请，转出学院审核同意、</w:t>
      </w:r>
      <w:r>
        <w:rPr>
          <w:spacing w:val="9"/>
        </w:rPr>
        <w:t>转入学院考核同意，学校审批。原则上一年级平级转，二年级降级转。本科三年级及以上、专科二年级及以上原则上不得转</w:t>
      </w:r>
      <w:r>
        <w:rPr>
          <w:spacing w:val="-3"/>
        </w:rPr>
        <w:t>专业。</w:t>
      </w:r>
    </w:p>
    <w:p w14:paraId="138F28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right="7" w:firstLine="695"/>
        <w:textAlignment w:val="auto"/>
      </w:pPr>
      <w:r>
        <w:rPr>
          <w:b/>
          <w:bCs/>
          <w:spacing w:val="6"/>
        </w:rPr>
        <w:t>第四条</w:t>
      </w:r>
      <w:r>
        <w:rPr>
          <w:spacing w:val="6"/>
        </w:rPr>
        <w:t xml:space="preserve">  为保证正常教学管理秩序，学校根据现有的教学</w:t>
      </w:r>
      <w:r>
        <w:rPr>
          <w:spacing w:val="9"/>
        </w:rPr>
        <w:t>资源和教学条件对转专业人数进行适当控制。各年级各专业每次允许转入控制数由各学院具体确定，累计控制数原则上不超</w:t>
      </w:r>
      <w:r>
        <w:rPr>
          <w:spacing w:val="4"/>
        </w:rPr>
        <w:t>过本年级本专业招生人数的</w:t>
      </w:r>
      <w:r>
        <w:rPr>
          <w:spacing w:val="-24"/>
        </w:rPr>
        <w:t xml:space="preserve"> </w:t>
      </w:r>
      <w:r>
        <w:rPr>
          <w:spacing w:val="4"/>
        </w:rPr>
        <w:t>15%。</w:t>
      </w:r>
    </w:p>
    <w:p w14:paraId="128FF7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98"/>
        <w:textAlignment w:val="auto"/>
      </w:pPr>
      <w:r>
        <w:rPr>
          <w:b/>
          <w:bCs/>
          <w:spacing w:val="7"/>
        </w:rPr>
        <w:t>第五条</w:t>
      </w:r>
      <w:r>
        <w:rPr>
          <w:spacing w:val="7"/>
        </w:rPr>
        <w:t xml:space="preserve">  具备以下条件之一者，可以提出转专业申请：</w:t>
      </w:r>
    </w:p>
    <w:p w14:paraId="52519E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right="53" w:firstLine="423"/>
        <w:textAlignment w:val="auto"/>
        <w:rPr>
          <w:spacing w:val="-2"/>
        </w:rPr>
      </w:pPr>
      <w:r>
        <w:rPr>
          <w:spacing w:val="5"/>
        </w:rPr>
        <w:t>（一）学习态度端正，遵守校纪校规、无违纪处分，具备目</w:t>
      </w:r>
      <w:r>
        <w:rPr>
          <w:spacing w:val="-2"/>
        </w:rPr>
        <w:t>标专业所需的身心条件、学科基础，能够适应目标专业的教育教学要求者；</w:t>
      </w:r>
    </w:p>
    <w:p w14:paraId="497BBA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right="53" w:firstLine="423"/>
        <w:textAlignment w:val="auto"/>
        <w:rPr>
          <w:spacing w:val="5"/>
        </w:rPr>
      </w:pPr>
      <w:r>
        <w:rPr>
          <w:spacing w:val="2"/>
        </w:rPr>
        <w:t>（二）</w:t>
      </w:r>
      <w:r>
        <w:rPr>
          <w:spacing w:val="-88"/>
        </w:rPr>
        <w:t xml:space="preserve"> </w:t>
      </w:r>
      <w:r>
        <w:rPr>
          <w:spacing w:val="2"/>
        </w:rPr>
        <w:t>因特殊疾病（不含隐瞒既往病史入学者</w:t>
      </w:r>
      <w:r>
        <w:rPr>
          <w:spacing w:val="9"/>
        </w:rPr>
        <w:t>），</w:t>
      </w:r>
      <w:r>
        <w:rPr>
          <w:spacing w:val="2"/>
        </w:rPr>
        <w:t>不能在原</w:t>
      </w:r>
      <w:r>
        <w:rPr>
          <w:spacing w:val="7"/>
        </w:rPr>
        <w:t>专业学习，但在上级和学校政策允许的范围内，</w:t>
      </w:r>
      <w:r>
        <w:rPr>
          <w:spacing w:val="-92"/>
        </w:rPr>
        <w:t xml:space="preserve"> </w:t>
      </w:r>
      <w:r>
        <w:rPr>
          <w:spacing w:val="6"/>
        </w:rPr>
        <w:t>尚能在本校其</w:t>
      </w:r>
      <w:r>
        <w:rPr>
          <w:spacing w:val="5"/>
        </w:rPr>
        <w:t>他专业学习者；</w:t>
      </w:r>
    </w:p>
    <w:p w14:paraId="0CD45C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right="53" w:firstLine="423"/>
        <w:textAlignment w:val="auto"/>
      </w:pPr>
      <w:r>
        <w:rPr>
          <w:spacing w:val="4"/>
        </w:rPr>
        <w:t>（三）休学创业或退役后复学，因</w:t>
      </w:r>
      <w:r>
        <w:rPr>
          <w:spacing w:val="-72"/>
        </w:rPr>
        <w:t xml:space="preserve"> </w:t>
      </w:r>
      <w:r>
        <w:rPr>
          <w:spacing w:val="4"/>
        </w:rPr>
        <w:t>自身情况需要转专业者。</w:t>
      </w:r>
      <w:r>
        <w:rPr>
          <w:spacing w:val="9"/>
        </w:rPr>
        <w:t>其中，因第（二）、（三）款申请转专业者，学校优先予</w:t>
      </w:r>
      <w:r>
        <w:rPr>
          <w:spacing w:val="-6"/>
        </w:rPr>
        <w:t>以考虑。</w:t>
      </w:r>
    </w:p>
    <w:p w14:paraId="48541E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" w:right="53" w:firstLine="687"/>
        <w:textAlignment w:val="auto"/>
      </w:pPr>
      <w:r>
        <w:rPr>
          <w:b/>
          <w:bCs/>
          <w:spacing w:val="6"/>
        </w:rPr>
        <w:t>第六条</w:t>
      </w:r>
      <w:r>
        <w:rPr>
          <w:spacing w:val="6"/>
        </w:rPr>
        <w:t xml:space="preserve">  留级、休学、退役后复学或保留入学资格期满复</w:t>
      </w:r>
      <w:r>
        <w:rPr>
          <w:spacing w:val="4"/>
        </w:rPr>
        <w:t>学，</w:t>
      </w:r>
      <w:r>
        <w:rPr>
          <w:spacing w:val="-93"/>
        </w:rPr>
        <w:t xml:space="preserve"> </w:t>
      </w:r>
      <w:r>
        <w:rPr>
          <w:spacing w:val="4"/>
        </w:rPr>
        <w:t>因学校专业调整或停招无法进入原专业学习者，</w:t>
      </w:r>
      <w:r>
        <w:rPr>
          <w:spacing w:val="-83"/>
        </w:rPr>
        <w:t xml:space="preserve"> </w:t>
      </w:r>
      <w:r>
        <w:rPr>
          <w:spacing w:val="4"/>
        </w:rPr>
        <w:t>由学</w:t>
      </w:r>
      <w:r>
        <w:rPr>
          <w:spacing w:val="3"/>
        </w:rPr>
        <w:t>校按</w:t>
      </w:r>
      <w:r>
        <w:rPr>
          <w:spacing w:val="7"/>
        </w:rPr>
        <w:t>照学科专业相近原则安排转入新专业。</w:t>
      </w:r>
    </w:p>
    <w:p w14:paraId="63E1F2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96"/>
        <w:textAlignment w:val="auto"/>
      </w:pPr>
      <w:r>
        <w:rPr>
          <w:b/>
          <w:bCs/>
          <w:spacing w:val="6"/>
        </w:rPr>
        <w:t>第七条</w:t>
      </w:r>
      <w:r>
        <w:rPr>
          <w:spacing w:val="6"/>
        </w:rPr>
        <w:t xml:space="preserve">  有下列情况之一者，不予转专业：</w:t>
      </w:r>
    </w:p>
    <w:p w14:paraId="1F24223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3" w:firstLine="425"/>
        <w:textAlignment w:val="auto"/>
      </w:pPr>
      <w:r>
        <w:rPr>
          <w:spacing w:val="2"/>
        </w:rPr>
        <w:t>（一）</w:t>
      </w:r>
      <w:r>
        <w:rPr>
          <w:spacing w:val="-74"/>
        </w:rPr>
        <w:t xml:space="preserve"> </w:t>
      </w:r>
      <w:r>
        <w:rPr>
          <w:spacing w:val="2"/>
        </w:rPr>
        <w:t>以特殊招生形式录取的学生，在招生时国家已有相关</w:t>
      </w:r>
      <w:r>
        <w:rPr>
          <w:spacing w:val="8"/>
        </w:rPr>
        <w:t>规定或录取前与高校有明确约定的；</w:t>
      </w:r>
    </w:p>
    <w:p w14:paraId="0E4C373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7"/>
        </w:rPr>
        <w:t>（二）新生注册、入学未满一学期的；</w:t>
      </w:r>
    </w:p>
    <w:p w14:paraId="2673FE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5"/>
        </w:rPr>
        <w:t>（三）在校期间已转过 1</w:t>
      </w:r>
      <w:r>
        <w:rPr>
          <w:spacing w:val="44"/>
        </w:rPr>
        <w:t xml:space="preserve"> </w:t>
      </w:r>
      <w:r>
        <w:rPr>
          <w:spacing w:val="5"/>
        </w:rPr>
        <w:t>次专业的；</w:t>
      </w:r>
    </w:p>
    <w:p w14:paraId="73E76CE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8"/>
        </w:rPr>
        <w:t>（四）正在休学、保留学籍或应作退学处理的；</w:t>
      </w:r>
    </w:p>
    <w:p w14:paraId="63FA2D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7"/>
        </w:rPr>
        <w:t>（五）从外校转入、专升本录取的；</w:t>
      </w:r>
    </w:p>
    <w:p w14:paraId="44CE262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</w:pPr>
      <w:r>
        <w:rPr>
          <w:spacing w:val="3"/>
        </w:rPr>
        <w:t>（六）</w:t>
      </w:r>
      <w:r>
        <w:rPr>
          <w:spacing w:val="-74"/>
        </w:rPr>
        <w:t xml:space="preserve"> </w:t>
      </w:r>
      <w:r>
        <w:rPr>
          <w:spacing w:val="3"/>
        </w:rPr>
        <w:t>以艺术、体育类录取入校申请转入非艺体类专业的；</w:t>
      </w:r>
    </w:p>
    <w:p w14:paraId="28E13C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7"/>
        </w:rPr>
        <w:t>（七）其他有失公平、公正情形的。</w:t>
      </w:r>
    </w:p>
    <w:p w14:paraId="33F08B8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091"/>
        <w:textAlignment w:val="auto"/>
      </w:pPr>
      <w:r>
        <w:rPr>
          <w:b/>
          <w:bCs/>
          <w:spacing w:val="-1"/>
        </w:rPr>
        <w:t>第三章</w:t>
      </w:r>
      <w:r>
        <w:rPr>
          <w:spacing w:val="21"/>
        </w:rPr>
        <w:t xml:space="preserve">  </w:t>
      </w:r>
      <w:r>
        <w:rPr>
          <w:b/>
          <w:bCs/>
          <w:spacing w:val="-1"/>
        </w:rPr>
        <w:t>转专业程序</w:t>
      </w:r>
    </w:p>
    <w:p w14:paraId="75C9316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" w:right="53" w:firstLine="690"/>
        <w:textAlignment w:val="auto"/>
      </w:pPr>
      <w:r>
        <w:rPr>
          <w:b/>
          <w:bCs/>
          <w:spacing w:val="6"/>
        </w:rPr>
        <w:t>第八条</w:t>
      </w:r>
      <w:r>
        <w:rPr>
          <w:spacing w:val="6"/>
        </w:rPr>
        <w:t xml:space="preserve">  常规转专业工作每学年组织一次，一般安排在秋</w:t>
      </w:r>
      <w:r>
        <w:rPr>
          <w:spacing w:val="8"/>
        </w:rPr>
        <w:t>季学期末到春季学期初进行。基本程序如下：</w:t>
      </w:r>
    </w:p>
    <w:p w14:paraId="7ADA3C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61"/>
        <w:textAlignment w:val="auto"/>
      </w:pPr>
      <w:r>
        <w:rPr>
          <w:spacing w:val="7"/>
        </w:rPr>
        <w:t>（一）教务处下发当年转专业通知。</w:t>
      </w:r>
    </w:p>
    <w:p w14:paraId="5A776EC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6" w:right="135" w:hanging="13"/>
        <w:textAlignment w:val="auto"/>
      </w:pPr>
      <w:r>
        <w:rPr>
          <w:spacing w:val="4"/>
        </w:rPr>
        <w:t>（二）各学院成立转专业工作小组，按本办</w:t>
      </w:r>
      <w:r>
        <w:rPr>
          <w:spacing w:val="3"/>
        </w:rPr>
        <w:t>法有关规定制定</w:t>
      </w:r>
      <w:r>
        <w:rPr>
          <w:spacing w:val="6"/>
        </w:rPr>
        <w:t>本学院转专业工作方案，明确各专业转入名额、</w:t>
      </w:r>
      <w:r>
        <w:rPr>
          <w:spacing w:val="-71"/>
        </w:rPr>
        <w:t xml:space="preserve"> </w:t>
      </w:r>
      <w:r>
        <w:rPr>
          <w:spacing w:val="6"/>
        </w:rPr>
        <w:t>申请条件、办</w:t>
      </w:r>
      <w:r>
        <w:rPr>
          <w:spacing w:val="9"/>
        </w:rPr>
        <w:t>理流程、考核方式、时间安排、主管部门、监督部门等关键信</w:t>
      </w:r>
      <w:r>
        <w:rPr>
          <w:spacing w:val="7"/>
        </w:rPr>
        <w:t>息。工作方案经教务处审核后公布。</w:t>
      </w:r>
    </w:p>
    <w:p w14:paraId="1F7917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" w:right="135" w:firstLine="457"/>
        <w:textAlignment w:val="auto"/>
      </w:pPr>
      <w:r>
        <w:rPr>
          <w:spacing w:val="4"/>
        </w:rPr>
        <w:t>（三）有意向转专业的学生在规定时间内，</w:t>
      </w:r>
      <w:r>
        <w:rPr>
          <w:spacing w:val="3"/>
        </w:rPr>
        <w:t>向所在学院提出</w:t>
      </w:r>
      <w:r>
        <w:rPr>
          <w:spacing w:val="9"/>
        </w:rPr>
        <w:t>转专业申请，填报《湖南女子学院学生专业调整申请表》（附</w:t>
      </w:r>
      <w:r>
        <w:rPr>
          <w:spacing w:val="-1"/>
        </w:rPr>
        <w:t>表</w:t>
      </w:r>
      <w:r>
        <w:rPr>
          <w:spacing w:val="-38"/>
        </w:rPr>
        <w:t xml:space="preserve"> </w:t>
      </w:r>
      <w:r>
        <w:rPr>
          <w:spacing w:val="-1"/>
        </w:rPr>
        <w:t>1</w:t>
      </w:r>
      <w:r>
        <w:rPr>
          <w:spacing w:val="21"/>
        </w:rPr>
        <w:t>），</w:t>
      </w:r>
      <w:r>
        <w:rPr>
          <w:spacing w:val="-1"/>
        </w:rPr>
        <w:t>逾期不再受理。</w:t>
      </w:r>
    </w:p>
    <w:p w14:paraId="5F550B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firstLine="459"/>
        <w:textAlignment w:val="auto"/>
      </w:pPr>
      <w:r>
        <w:rPr>
          <w:spacing w:val="4"/>
        </w:rPr>
        <w:t>（四）转出学院对申请学生的资格、学业成</w:t>
      </w:r>
      <w:r>
        <w:rPr>
          <w:spacing w:val="3"/>
        </w:rPr>
        <w:t>绩、违法违纪情</w:t>
      </w:r>
      <w:r>
        <w:rPr>
          <w:spacing w:val="-2"/>
        </w:rPr>
        <w:t>况等进行初审后，将《湖南女子学院学生专业</w:t>
      </w:r>
      <w:r>
        <w:rPr>
          <w:spacing w:val="-3"/>
        </w:rPr>
        <w:t>调整申请表》（附</w:t>
      </w:r>
      <w:r>
        <w:rPr>
          <w:spacing w:val="6"/>
        </w:rPr>
        <w:t>表</w:t>
      </w:r>
      <w:r>
        <w:rPr>
          <w:spacing w:val="-39"/>
        </w:rPr>
        <w:t xml:space="preserve"> </w:t>
      </w:r>
      <w:r>
        <w:rPr>
          <w:spacing w:val="6"/>
        </w:rPr>
        <w:t>1）、《湖南女子学院专业调整拟转出学生名单》（附表</w:t>
      </w:r>
      <w:r>
        <w:rPr>
          <w:spacing w:val="-58"/>
        </w:rPr>
        <w:t xml:space="preserve"> </w:t>
      </w:r>
      <w:r>
        <w:rPr>
          <w:spacing w:val="6"/>
        </w:rPr>
        <w:t>2）</w:t>
      </w:r>
      <w:r>
        <w:rPr>
          <w:spacing w:val="7"/>
        </w:rPr>
        <w:t>及相关证明材料报教务处。</w:t>
      </w:r>
    </w:p>
    <w:p w14:paraId="08AA5F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right="135" w:firstLine="459"/>
        <w:textAlignment w:val="auto"/>
      </w:pPr>
      <w:r>
        <w:rPr>
          <w:spacing w:val="4"/>
        </w:rPr>
        <w:t>（五）转入学院根据教务处复审汇总的名单</w:t>
      </w:r>
      <w:r>
        <w:rPr>
          <w:spacing w:val="3"/>
        </w:rPr>
        <w:t>，深入了解申请</w:t>
      </w:r>
      <w:r>
        <w:rPr>
          <w:spacing w:val="9"/>
        </w:rPr>
        <w:t>转入学生情况，并进行考核（可结合笔试、面试、学业成绩综</w:t>
      </w:r>
      <w:r>
        <w:rPr>
          <w:spacing w:val="8"/>
        </w:rPr>
        <w:t>合评定</w:t>
      </w:r>
      <w:r>
        <w:rPr>
          <w:spacing w:val="26"/>
        </w:rPr>
        <w:t>），</w:t>
      </w:r>
      <w:r>
        <w:rPr>
          <w:spacing w:val="8"/>
        </w:rPr>
        <w:t>重点考察学生的专业兴趣、学科基础</w:t>
      </w:r>
      <w:r>
        <w:rPr>
          <w:spacing w:val="7"/>
        </w:rPr>
        <w:t>和学习潜力。</w:t>
      </w:r>
      <w:r>
        <w:rPr>
          <w:spacing w:val="9"/>
        </w:rPr>
        <w:t>根据考核情况确定拟转入学生名单，经学院党政联席会议研究</w:t>
      </w:r>
      <w:r>
        <w:rPr>
          <w:spacing w:val="-2"/>
        </w:rPr>
        <w:t>并公示后</w:t>
      </w:r>
      <w:r>
        <w:rPr>
          <w:color w:val="0000FF"/>
          <w:spacing w:val="-2"/>
        </w:rPr>
        <w:t>，</w:t>
      </w:r>
      <w:r>
        <w:rPr>
          <w:spacing w:val="-2"/>
        </w:rPr>
        <w:t>填报《湖南女子学院专业调整拟转</w:t>
      </w:r>
      <w:r>
        <w:rPr>
          <w:spacing w:val="-3"/>
        </w:rPr>
        <w:t>入学生名单》（附</w:t>
      </w:r>
      <w:r>
        <w:rPr>
          <w:spacing w:val="2"/>
        </w:rPr>
        <w:t>表</w:t>
      </w:r>
      <w:r>
        <w:rPr>
          <w:spacing w:val="-50"/>
        </w:rPr>
        <w:t xml:space="preserve"> </w:t>
      </w:r>
      <w:r>
        <w:rPr>
          <w:spacing w:val="2"/>
        </w:rPr>
        <w:t>3）至教务处。</w:t>
      </w:r>
    </w:p>
    <w:p w14:paraId="67B621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44" w:firstLine="461"/>
        <w:textAlignment w:val="auto"/>
      </w:pPr>
      <w:r>
        <w:rPr>
          <w:spacing w:val="4"/>
        </w:rPr>
        <w:t>（六）教务处对拟转入学生名单进行汇总，</w:t>
      </w:r>
      <w:r>
        <w:rPr>
          <w:spacing w:val="3"/>
        </w:rPr>
        <w:t>报请校长办公会</w:t>
      </w:r>
      <w:r>
        <w:rPr>
          <w:spacing w:val="1"/>
        </w:rPr>
        <w:t>议研究审议。审议通过后，在转出转入学院、教务处网站公示，</w:t>
      </w:r>
      <w:r>
        <w:rPr>
          <w:spacing w:val="9"/>
        </w:rPr>
        <w:t>公示内容应包括申请人姓名、年级、原专业、拟转入专业、监</w:t>
      </w:r>
      <w:r>
        <w:rPr>
          <w:spacing w:val="8"/>
        </w:rPr>
        <w:t>督机关、异议反映渠道等，公示期不少于 5 个工作日。</w:t>
      </w:r>
    </w:p>
    <w:p w14:paraId="6FAF1E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9" w:right="135" w:firstLine="451"/>
        <w:textAlignment w:val="auto"/>
      </w:pPr>
      <w:r>
        <w:rPr>
          <w:spacing w:val="4"/>
        </w:rPr>
        <w:t>（七）公示无异议的，由教务处发文确认转</w:t>
      </w:r>
      <w:r>
        <w:rPr>
          <w:spacing w:val="3"/>
        </w:rPr>
        <w:t>专业资格，办理</w:t>
      </w:r>
      <w:r>
        <w:rPr>
          <w:spacing w:val="6"/>
        </w:rPr>
        <w:t>学籍变更手续；公示有异议的，</w:t>
      </w:r>
      <w:r>
        <w:rPr>
          <w:spacing w:val="-79"/>
        </w:rPr>
        <w:t xml:space="preserve"> </w:t>
      </w:r>
      <w:r>
        <w:rPr>
          <w:spacing w:val="6"/>
        </w:rPr>
        <w:t>由教务处组织核查，校纪委、</w:t>
      </w:r>
      <w:r>
        <w:rPr>
          <w:spacing w:val="8"/>
        </w:rPr>
        <w:t>监察专员办公室参与，核查属实的，取消其转专业资格。</w:t>
      </w:r>
    </w:p>
    <w:p w14:paraId="499E47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spacing w:val="6"/>
        </w:rPr>
        <w:t>（八）学生转专业资格确认后，应在资格确认文件发布后，</w:t>
      </w:r>
      <w:r>
        <w:rPr>
          <w:spacing w:val="8"/>
        </w:rPr>
        <w:t>根据学校规定的时间，到转入学院报到，融入目标专业学习，逾期未办理的，视为自动放弃转专业资格。</w:t>
      </w:r>
    </w:p>
    <w:p w14:paraId="1E3B65D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609"/>
        <w:textAlignment w:val="auto"/>
      </w:pPr>
      <w:r>
        <w:rPr>
          <w:b/>
          <w:bCs/>
          <w:spacing w:val="2"/>
        </w:rPr>
        <w:t>第四章</w:t>
      </w:r>
      <w:r>
        <w:rPr>
          <w:spacing w:val="20"/>
        </w:rPr>
        <w:t xml:space="preserve">  </w:t>
      </w:r>
      <w:r>
        <w:rPr>
          <w:b/>
          <w:bCs/>
          <w:spacing w:val="2"/>
        </w:rPr>
        <w:t>转专业学生的管理</w:t>
      </w:r>
    </w:p>
    <w:p w14:paraId="29E3A61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" w:right="98" w:firstLine="690"/>
        <w:textAlignment w:val="auto"/>
      </w:pPr>
      <w:r>
        <w:rPr>
          <w:b/>
          <w:bCs/>
          <w:spacing w:val="6"/>
        </w:rPr>
        <w:t>第九条</w:t>
      </w:r>
      <w:r>
        <w:rPr>
          <w:spacing w:val="6"/>
        </w:rPr>
        <w:t xml:space="preserve">  在学校批准转入新专业前，申请转专业的学生应</w:t>
      </w:r>
      <w:r>
        <w:rPr>
          <w:spacing w:val="-2"/>
        </w:rPr>
        <w:t>参加原专业的学习及一切活动。无故旷课、旷考或有</w:t>
      </w:r>
      <w:r>
        <w:rPr>
          <w:spacing w:val="-3"/>
        </w:rPr>
        <w:t>其他违纪行</w:t>
      </w:r>
      <w:r>
        <w:rPr>
          <w:spacing w:val="1"/>
        </w:rPr>
        <w:t>为者，除按学校有关规定处理外，同时取消其转专业资格。</w:t>
      </w:r>
    </w:p>
    <w:p w14:paraId="688BDA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7" w:right="105" w:firstLine="688"/>
        <w:textAlignment w:val="auto"/>
      </w:pPr>
      <w:r>
        <w:rPr>
          <w:b/>
          <w:bCs/>
          <w:spacing w:val="6"/>
        </w:rPr>
        <w:t>第十条</w:t>
      </w:r>
      <w:r>
        <w:rPr>
          <w:spacing w:val="6"/>
        </w:rPr>
        <w:t xml:space="preserve">  批准转入新专业学习的学生，须按新专业的有关要求办理手续、缴纳学费。</w:t>
      </w:r>
    </w:p>
    <w:p w14:paraId="1349FE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" w:right="105" w:firstLine="690"/>
        <w:textAlignment w:val="auto"/>
      </w:pPr>
      <w:r>
        <w:rPr>
          <w:b/>
          <w:bCs/>
          <w:spacing w:val="19"/>
        </w:rPr>
        <w:t>第十一条</w:t>
      </w:r>
      <w:r>
        <w:rPr>
          <w:spacing w:val="19"/>
        </w:rPr>
        <w:t xml:space="preserve">  经批准转入新专业学习的学生</w:t>
      </w:r>
      <w:r>
        <w:rPr>
          <w:spacing w:val="18"/>
        </w:rPr>
        <w:t>的学籍异动工</w:t>
      </w:r>
      <w:r>
        <w:rPr>
          <w:spacing w:val="7"/>
        </w:rPr>
        <w:t>作由教务处负责完成，各学院协助。</w:t>
      </w:r>
    </w:p>
    <w:p w14:paraId="732B77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96"/>
        <w:textAlignment w:val="auto"/>
      </w:pPr>
      <w:r>
        <w:rPr>
          <w:b/>
          <w:bCs/>
          <w:spacing w:val="3"/>
        </w:rPr>
        <w:t>第十二条</w:t>
      </w:r>
      <w:r>
        <w:rPr>
          <w:spacing w:val="27"/>
        </w:rPr>
        <w:t xml:space="preserve">  </w:t>
      </w:r>
      <w:r>
        <w:rPr>
          <w:spacing w:val="3"/>
        </w:rPr>
        <w:t>学生转专业后的管理：</w:t>
      </w:r>
    </w:p>
    <w:p w14:paraId="032F00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" w:right="105" w:firstLine="414"/>
        <w:textAlignment w:val="auto"/>
      </w:pPr>
      <w:r>
        <w:rPr>
          <w:spacing w:val="5"/>
        </w:rPr>
        <w:t>（一）转入新专业学习的学生，原进校时编制的学号保持不</w:t>
      </w:r>
      <w:r>
        <w:rPr>
          <w:spacing w:val="7"/>
        </w:rPr>
        <w:t>变，学生证等证件应作相应变更。</w:t>
      </w:r>
    </w:p>
    <w:p w14:paraId="719C46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5"/>
        <w:textAlignment w:val="auto"/>
      </w:pPr>
      <w:r>
        <w:rPr>
          <w:spacing w:val="8"/>
        </w:rPr>
        <w:t>（二）转入新专业学习的学生，应按转入专业调整宿舍。</w:t>
      </w:r>
    </w:p>
    <w:p w14:paraId="7DDE4E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" w:right="105" w:firstLine="421"/>
        <w:textAlignment w:val="auto"/>
      </w:pPr>
      <w:r>
        <w:rPr>
          <w:spacing w:val="5"/>
        </w:rPr>
        <w:t>（三）转入新专业学习的学生，其档案与党、团组织关系应</w:t>
      </w:r>
      <w:r>
        <w:rPr>
          <w:spacing w:val="9"/>
        </w:rPr>
        <w:t>在办理完学籍异动手续后一个月内，以转出学院为单位与转入</w:t>
      </w:r>
      <w:r>
        <w:rPr>
          <w:spacing w:val="6"/>
        </w:rPr>
        <w:t>学院办理交接手续。</w:t>
      </w:r>
    </w:p>
    <w:p w14:paraId="334960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05" w:firstLine="424"/>
        <w:textAlignment w:val="auto"/>
        <w:rPr>
          <w:spacing w:val="2"/>
        </w:rPr>
      </w:pPr>
      <w:r>
        <w:rPr>
          <w:spacing w:val="5"/>
        </w:rPr>
        <w:t>（四）学生转专业后，严格按照转入专业的培养方案审核毕</w:t>
      </w:r>
      <w:r>
        <w:rPr>
          <w:spacing w:val="6"/>
        </w:rPr>
        <w:t>业资格。在原专业已修课程学分，</w:t>
      </w:r>
      <w:r>
        <w:rPr>
          <w:spacing w:val="-70"/>
        </w:rPr>
        <w:t xml:space="preserve"> </w:t>
      </w:r>
      <w:r>
        <w:rPr>
          <w:spacing w:val="6"/>
        </w:rPr>
        <w:t>由转入学院结合转入专业培</w:t>
      </w:r>
      <w:r>
        <w:rPr>
          <w:spacing w:val="9"/>
        </w:rPr>
        <w:t>养方案，进行学分认定；未达到要求的课程，需按转入专业要</w:t>
      </w:r>
      <w:r>
        <w:rPr>
          <w:spacing w:val="2"/>
        </w:rPr>
        <w:t>求补修。</w:t>
      </w:r>
    </w:p>
    <w:p w14:paraId="2CD95E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105" w:firstLine="424"/>
        <w:textAlignment w:val="auto"/>
        <w:rPr>
          <w:spacing w:val="6"/>
        </w:rPr>
      </w:pPr>
      <w:r>
        <w:rPr>
          <w:spacing w:val="10"/>
        </w:rPr>
        <w:t>（五）转入学院应对转入学生加强培养，进行个体帮扶，</w:t>
      </w:r>
      <w:r>
        <w:rPr>
          <w:spacing w:val="9"/>
        </w:rPr>
        <w:t>确保学生顺利完成专业学习任务，并及时做好转入学生学籍资</w:t>
      </w:r>
      <w:r>
        <w:rPr>
          <w:spacing w:val="1"/>
        </w:rPr>
        <w:t>料的接收、建档和完善工作，确保转入学生学籍资料的完整性、</w:t>
      </w:r>
      <w:r>
        <w:rPr>
          <w:spacing w:val="6"/>
        </w:rPr>
        <w:t>真实性和规范性。</w:t>
      </w:r>
    </w:p>
    <w:p w14:paraId="2920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410"/>
        <w:textAlignment w:val="auto"/>
      </w:pPr>
      <w:r>
        <w:rPr>
          <w:b/>
          <w:bCs/>
          <w:spacing w:val="-9"/>
        </w:rPr>
        <w:t>第五章</w:t>
      </w:r>
      <w:r>
        <w:rPr>
          <w:spacing w:val="23"/>
        </w:rPr>
        <w:t xml:space="preserve">  </w:t>
      </w:r>
      <w:r>
        <w:rPr>
          <w:b/>
          <w:bCs/>
          <w:spacing w:val="-9"/>
        </w:rPr>
        <w:t>附</w:t>
      </w:r>
      <w:r>
        <w:rPr>
          <w:spacing w:val="19"/>
        </w:rPr>
        <w:t xml:space="preserve">  </w:t>
      </w:r>
      <w:r>
        <w:rPr>
          <w:b/>
          <w:bCs/>
          <w:spacing w:val="-9"/>
        </w:rPr>
        <w:t>则</w:t>
      </w:r>
    </w:p>
    <w:p w14:paraId="13E934B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" w:firstLine="694"/>
        <w:textAlignment w:val="auto"/>
      </w:pPr>
      <w:r>
        <w:rPr>
          <w:b/>
          <w:bCs/>
          <w:spacing w:val="6"/>
        </w:rPr>
        <w:t>第十三条</w:t>
      </w:r>
      <w:r>
        <w:rPr>
          <w:spacing w:val="6"/>
        </w:rPr>
        <w:t xml:space="preserve">  教务处和二级学院建立转专业工作档案，妥善</w:t>
      </w:r>
      <w:r>
        <w:rPr>
          <w:spacing w:val="8"/>
        </w:rPr>
        <w:t>保管申请材料、考核记录、公示文件等，以备核查、监督。</w:t>
      </w:r>
    </w:p>
    <w:p w14:paraId="6BB2D9A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" w:firstLine="691"/>
        <w:textAlignment w:val="auto"/>
      </w:pPr>
      <w:r>
        <w:rPr>
          <w:b/>
          <w:bCs/>
          <w:spacing w:val="3"/>
        </w:rPr>
        <w:t>第十四条</w:t>
      </w:r>
      <w:r>
        <w:rPr>
          <w:spacing w:val="3"/>
        </w:rPr>
        <w:t xml:space="preserve">  本办法经2026</w:t>
      </w:r>
      <w:r>
        <w:rPr>
          <w:spacing w:val="-52"/>
        </w:rPr>
        <w:t xml:space="preserve"> </w:t>
      </w:r>
      <w:r>
        <w:rPr>
          <w:spacing w:val="3"/>
        </w:rPr>
        <w:t>年</w:t>
      </w:r>
      <w:r>
        <w:rPr>
          <w:spacing w:val="-70"/>
        </w:rPr>
        <w:t xml:space="preserve"> </w:t>
      </w:r>
      <w:r>
        <w:rPr>
          <w:spacing w:val="3"/>
        </w:rPr>
        <w:t>4</w:t>
      </w:r>
      <w:r>
        <w:rPr>
          <w:spacing w:val="-46"/>
        </w:rPr>
        <w:t xml:space="preserve"> </w:t>
      </w:r>
      <w:r>
        <w:rPr>
          <w:spacing w:val="3"/>
        </w:rPr>
        <w:t>月</w:t>
      </w:r>
      <w:r>
        <w:rPr>
          <w:spacing w:val="-68"/>
        </w:rPr>
        <w:t xml:space="preserve"> </w:t>
      </w:r>
      <w:r>
        <w:rPr>
          <w:spacing w:val="3"/>
        </w:rPr>
        <w:t>23日校长办公会讨论通</w:t>
      </w:r>
      <w:r>
        <w:rPr>
          <w:spacing w:val="1"/>
        </w:rPr>
        <w:t>过，</w:t>
      </w:r>
      <w:r>
        <w:rPr>
          <w:spacing w:val="-65"/>
        </w:rPr>
        <w:t xml:space="preserve"> </w:t>
      </w:r>
      <w:r>
        <w:rPr>
          <w:spacing w:val="1"/>
        </w:rPr>
        <w:t>自</w:t>
      </w:r>
      <w:r>
        <w:rPr>
          <w:spacing w:val="-58"/>
        </w:rPr>
        <w:t xml:space="preserve"> </w:t>
      </w:r>
      <w:r>
        <w:rPr>
          <w:spacing w:val="1"/>
        </w:rPr>
        <w:t>2026-2027</w:t>
      </w:r>
      <w:r>
        <w:rPr>
          <w:spacing w:val="-42"/>
        </w:rPr>
        <w:t xml:space="preserve"> </w:t>
      </w:r>
      <w:r>
        <w:rPr>
          <w:spacing w:val="1"/>
        </w:rPr>
        <w:t>学年开始实施，</w:t>
      </w:r>
      <w:r>
        <w:rPr>
          <w:spacing w:val="-84"/>
        </w:rPr>
        <w:t xml:space="preserve"> </w:t>
      </w:r>
      <w:r>
        <w:rPr>
          <w:spacing w:val="1"/>
        </w:rPr>
        <w:t>由教务处负责解释</w:t>
      </w:r>
      <w:r>
        <w:t>。原《湖</w:t>
      </w:r>
      <w:r>
        <w:rPr>
          <w:spacing w:val="20"/>
        </w:rPr>
        <w:t>南女子学院普通全日制学生转专</w:t>
      </w:r>
      <w:bookmarkStart w:id="2" w:name="_GoBack"/>
      <w:bookmarkEnd w:id="2"/>
      <w:r>
        <w:rPr>
          <w:spacing w:val="20"/>
        </w:rPr>
        <w:t>业管理办法</w:t>
      </w:r>
      <w:r>
        <w:rPr>
          <w:spacing w:val="19"/>
        </w:rPr>
        <w:t>》</w:t>
      </w:r>
      <w:r>
        <w:rPr>
          <w:spacing w:val="-115"/>
        </w:rPr>
        <w:t xml:space="preserve"> </w:t>
      </w:r>
      <w:r>
        <w:rPr>
          <w:spacing w:val="19"/>
        </w:rPr>
        <w:t>（湘女院行字</w:t>
      </w:r>
      <w:r>
        <w:rPr>
          <w:spacing w:val="-1"/>
        </w:rPr>
        <w:t>〔2023〕98</w:t>
      </w:r>
      <w:r>
        <w:rPr>
          <w:spacing w:val="-47"/>
        </w:rPr>
        <w:t xml:space="preserve"> </w:t>
      </w:r>
      <w:r>
        <w:rPr>
          <w:spacing w:val="-1"/>
        </w:rPr>
        <w:t>号）</w:t>
      </w:r>
      <w:r>
        <w:rPr>
          <w:spacing w:val="-85"/>
        </w:rPr>
        <w:t xml:space="preserve"> </w:t>
      </w:r>
      <w:r>
        <w:rPr>
          <w:spacing w:val="-1"/>
        </w:rPr>
        <w:t>同时废止。</w:t>
      </w:r>
    </w:p>
    <w:p w14:paraId="765A4593">
      <w:pPr>
        <w:spacing w:line="334" w:lineRule="auto"/>
        <w:sectPr>
          <w:footerReference r:id="rId3" w:type="default"/>
          <w:pgSz w:w="11906" w:h="16839"/>
          <w:pgMar w:top="1431" w:right="1631" w:bottom="1156" w:left="1654" w:header="0" w:footer="994" w:gutter="0"/>
          <w:cols w:space="720" w:num="1"/>
        </w:sectPr>
      </w:pPr>
    </w:p>
    <w:p w14:paraId="4297FA17">
      <w:pPr>
        <w:pStyle w:val="3"/>
        <w:spacing w:before="163" w:line="229" w:lineRule="auto"/>
        <w:ind w:left="336"/>
      </w:pPr>
      <w:r>
        <w:rPr>
          <w:spacing w:val="-12"/>
        </w:rPr>
        <w:t>附表</w:t>
      </w:r>
      <w:r>
        <w:rPr>
          <w:spacing w:val="-39"/>
        </w:rPr>
        <w:t xml:space="preserve"> </w:t>
      </w:r>
      <w:r>
        <w:rPr>
          <w:spacing w:val="-12"/>
        </w:rPr>
        <w:t>1：</w:t>
      </w:r>
    </w:p>
    <w:p w14:paraId="6F26C5E2">
      <w:pPr>
        <w:spacing w:before="218" w:line="196" w:lineRule="auto"/>
        <w:ind w:left="1338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b/>
          <w:bCs/>
          <w:spacing w:val="4"/>
          <w:sz w:val="43"/>
          <w:szCs w:val="43"/>
        </w:rPr>
        <w:t>湖南女子学院学生专业调整申请表</w:t>
      </w:r>
    </w:p>
    <w:p w14:paraId="3030843D">
      <w:pPr>
        <w:spacing w:line="244" w:lineRule="auto"/>
        <w:rPr>
          <w:rFonts w:ascii="Arial"/>
          <w:sz w:val="21"/>
        </w:rPr>
      </w:pPr>
    </w:p>
    <w:p w14:paraId="65FDC905">
      <w:pPr>
        <w:spacing w:before="65" w:line="228" w:lineRule="auto"/>
        <w:ind w:left="31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学号：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      </w:t>
      </w:r>
      <w:r>
        <w:rPr>
          <w:rFonts w:ascii="宋体" w:hAnsi="宋体" w:eastAsia="宋体" w:cs="宋体"/>
          <w:spacing w:val="3"/>
          <w:sz w:val="20"/>
          <w:szCs w:val="20"/>
        </w:rPr>
        <w:t>姓名：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         </w:t>
      </w:r>
      <w:r>
        <w:rPr>
          <w:rFonts w:ascii="宋体" w:hAnsi="宋体" w:eastAsia="宋体" w:cs="宋体"/>
          <w:spacing w:val="3"/>
          <w:sz w:val="20"/>
          <w:szCs w:val="20"/>
        </w:rPr>
        <w:t>学院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      </w:t>
      </w:r>
      <w:r>
        <w:rPr>
          <w:rFonts w:ascii="宋体" w:hAnsi="宋体" w:eastAsia="宋体" w:cs="宋体"/>
          <w:spacing w:val="3"/>
          <w:sz w:val="20"/>
          <w:szCs w:val="20"/>
        </w:rPr>
        <w:t>专业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3"/>
          <w:sz w:val="20"/>
          <w:szCs w:val="20"/>
        </w:rPr>
        <w:t>年级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   </w:t>
      </w:r>
      <w:r>
        <w:rPr>
          <w:rFonts w:ascii="宋体" w:hAnsi="宋体" w:eastAsia="宋体" w:cs="宋体"/>
          <w:spacing w:val="3"/>
          <w:sz w:val="20"/>
          <w:szCs w:val="20"/>
        </w:rPr>
        <w:t>班</w:t>
      </w:r>
    </w:p>
    <w:p w14:paraId="6939098A">
      <w:pPr>
        <w:spacing w:line="169" w:lineRule="exact"/>
      </w:pPr>
    </w:p>
    <w:tbl>
      <w:tblPr>
        <w:tblStyle w:val="12"/>
        <w:tblW w:w="92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6"/>
        <w:gridCol w:w="3112"/>
        <w:gridCol w:w="1809"/>
        <w:gridCol w:w="2722"/>
      </w:tblGrid>
      <w:tr w14:paraId="74A781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596" w:type="dxa"/>
            <w:vAlign w:val="top"/>
          </w:tcPr>
          <w:p w14:paraId="5B69C983">
            <w:pPr>
              <w:spacing w:before="126" w:line="289" w:lineRule="auto"/>
              <w:ind w:left="279" w:right="271" w:firstLine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何时进入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本专业学习</w:t>
            </w:r>
          </w:p>
        </w:tc>
        <w:tc>
          <w:tcPr>
            <w:tcW w:w="3112" w:type="dxa"/>
            <w:vAlign w:val="top"/>
          </w:tcPr>
          <w:p w14:paraId="5B9F8B99">
            <w:pPr>
              <w:spacing w:before="281" w:line="228" w:lineRule="auto"/>
              <w:ind w:left="6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  <w:tc>
          <w:tcPr>
            <w:tcW w:w="1809" w:type="dxa"/>
            <w:vAlign w:val="top"/>
          </w:tcPr>
          <w:p w14:paraId="0B731422">
            <w:pPr>
              <w:spacing w:before="282" w:line="229" w:lineRule="auto"/>
              <w:ind w:left="49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联系方式</w:t>
            </w:r>
          </w:p>
        </w:tc>
        <w:tc>
          <w:tcPr>
            <w:tcW w:w="2722" w:type="dxa"/>
            <w:vAlign w:val="top"/>
          </w:tcPr>
          <w:p w14:paraId="54660256">
            <w:pPr>
              <w:pStyle w:val="13"/>
            </w:pPr>
          </w:p>
        </w:tc>
      </w:tr>
      <w:tr w14:paraId="6CE03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596" w:type="dxa"/>
            <w:vAlign w:val="top"/>
          </w:tcPr>
          <w:p w14:paraId="61BEAE6A">
            <w:pPr>
              <w:spacing w:before="278" w:line="228" w:lineRule="auto"/>
              <w:ind w:left="1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申请转入年级</w:t>
            </w:r>
          </w:p>
        </w:tc>
        <w:tc>
          <w:tcPr>
            <w:tcW w:w="3112" w:type="dxa"/>
            <w:vAlign w:val="top"/>
          </w:tcPr>
          <w:p w14:paraId="1C14ACBF">
            <w:pPr>
              <w:pStyle w:val="13"/>
            </w:pPr>
          </w:p>
        </w:tc>
        <w:tc>
          <w:tcPr>
            <w:tcW w:w="1809" w:type="dxa"/>
            <w:vAlign w:val="top"/>
          </w:tcPr>
          <w:p w14:paraId="2B147A35">
            <w:pPr>
              <w:spacing w:before="278" w:line="228" w:lineRule="auto"/>
              <w:ind w:left="3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申请转入专业</w:t>
            </w:r>
          </w:p>
        </w:tc>
        <w:tc>
          <w:tcPr>
            <w:tcW w:w="2722" w:type="dxa"/>
            <w:vAlign w:val="top"/>
          </w:tcPr>
          <w:p w14:paraId="6085E662">
            <w:pPr>
              <w:pStyle w:val="13"/>
            </w:pPr>
          </w:p>
        </w:tc>
      </w:tr>
      <w:tr w14:paraId="5A761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1" w:hRule="atLeast"/>
        </w:trPr>
        <w:tc>
          <w:tcPr>
            <w:tcW w:w="1596" w:type="dxa"/>
            <w:vAlign w:val="top"/>
          </w:tcPr>
          <w:p w14:paraId="16F4CC70">
            <w:pPr>
              <w:pStyle w:val="13"/>
              <w:spacing w:line="251" w:lineRule="auto"/>
            </w:pPr>
          </w:p>
          <w:p w14:paraId="48E97080">
            <w:pPr>
              <w:pStyle w:val="13"/>
              <w:spacing w:line="251" w:lineRule="auto"/>
            </w:pPr>
          </w:p>
          <w:p w14:paraId="6B7596B0">
            <w:pPr>
              <w:pStyle w:val="13"/>
              <w:spacing w:line="251" w:lineRule="auto"/>
            </w:pPr>
          </w:p>
          <w:p w14:paraId="72F1F66F">
            <w:pPr>
              <w:pStyle w:val="13"/>
              <w:spacing w:line="251" w:lineRule="auto"/>
            </w:pPr>
          </w:p>
          <w:p w14:paraId="3E021E86">
            <w:pPr>
              <w:pStyle w:val="13"/>
              <w:spacing w:line="252" w:lineRule="auto"/>
            </w:pPr>
          </w:p>
          <w:p w14:paraId="349A8722">
            <w:pPr>
              <w:spacing w:before="65" w:line="292" w:lineRule="auto"/>
              <w:ind w:left="594" w:right="168" w:hanging="3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申请专业调整理由</w:t>
            </w:r>
          </w:p>
        </w:tc>
        <w:tc>
          <w:tcPr>
            <w:tcW w:w="3112" w:type="dxa"/>
            <w:tcBorders>
              <w:right w:val="nil"/>
            </w:tcBorders>
            <w:vAlign w:val="top"/>
          </w:tcPr>
          <w:p w14:paraId="2D443B57">
            <w:pPr>
              <w:pStyle w:val="13"/>
              <w:spacing w:line="255" w:lineRule="auto"/>
            </w:pPr>
          </w:p>
          <w:p w14:paraId="17B074CA">
            <w:pPr>
              <w:pStyle w:val="13"/>
              <w:spacing w:line="255" w:lineRule="auto"/>
            </w:pPr>
          </w:p>
          <w:p w14:paraId="489C09F9">
            <w:pPr>
              <w:pStyle w:val="13"/>
              <w:spacing w:line="255" w:lineRule="auto"/>
            </w:pPr>
          </w:p>
          <w:p w14:paraId="5D7D3112">
            <w:pPr>
              <w:pStyle w:val="13"/>
              <w:spacing w:line="255" w:lineRule="auto"/>
            </w:pPr>
          </w:p>
          <w:p w14:paraId="16416B58">
            <w:pPr>
              <w:pStyle w:val="13"/>
              <w:spacing w:line="256" w:lineRule="auto"/>
            </w:pPr>
          </w:p>
          <w:p w14:paraId="76D62752">
            <w:pPr>
              <w:pStyle w:val="13"/>
              <w:spacing w:line="256" w:lineRule="auto"/>
            </w:pPr>
          </w:p>
          <w:p w14:paraId="72E595EE">
            <w:pPr>
              <w:pStyle w:val="13"/>
              <w:spacing w:line="256" w:lineRule="auto"/>
            </w:pPr>
          </w:p>
          <w:p w14:paraId="0640423B">
            <w:pPr>
              <w:pStyle w:val="13"/>
              <w:spacing w:line="256" w:lineRule="auto"/>
            </w:pPr>
          </w:p>
          <w:p w14:paraId="3299EAE0">
            <w:pPr>
              <w:pStyle w:val="13"/>
              <w:spacing w:line="256" w:lineRule="auto"/>
            </w:pPr>
          </w:p>
          <w:p w14:paraId="2DE3F56A">
            <w:pPr>
              <w:pStyle w:val="13"/>
              <w:spacing w:line="256" w:lineRule="auto"/>
            </w:pPr>
          </w:p>
          <w:p w14:paraId="2FB040C2">
            <w:pPr>
              <w:spacing w:before="65" w:line="228" w:lineRule="auto"/>
              <w:ind w:left="1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申请人签字：</w:t>
            </w:r>
          </w:p>
        </w:tc>
        <w:tc>
          <w:tcPr>
            <w:tcW w:w="1809" w:type="dxa"/>
            <w:tcBorders>
              <w:left w:val="nil"/>
              <w:right w:val="nil"/>
            </w:tcBorders>
            <w:vAlign w:val="top"/>
          </w:tcPr>
          <w:p w14:paraId="70CE202C">
            <w:pPr>
              <w:pStyle w:val="13"/>
              <w:spacing w:line="255" w:lineRule="auto"/>
            </w:pPr>
          </w:p>
          <w:p w14:paraId="6AAB339A">
            <w:pPr>
              <w:pStyle w:val="13"/>
              <w:spacing w:line="255" w:lineRule="auto"/>
            </w:pPr>
          </w:p>
          <w:p w14:paraId="3E666705">
            <w:pPr>
              <w:pStyle w:val="13"/>
              <w:spacing w:line="255" w:lineRule="auto"/>
            </w:pPr>
          </w:p>
          <w:p w14:paraId="399C47D2">
            <w:pPr>
              <w:pStyle w:val="13"/>
              <w:spacing w:line="255" w:lineRule="auto"/>
            </w:pPr>
          </w:p>
          <w:p w14:paraId="5A559529">
            <w:pPr>
              <w:pStyle w:val="13"/>
              <w:spacing w:line="256" w:lineRule="auto"/>
            </w:pPr>
          </w:p>
          <w:p w14:paraId="0F930231">
            <w:pPr>
              <w:pStyle w:val="13"/>
              <w:spacing w:line="256" w:lineRule="auto"/>
            </w:pPr>
          </w:p>
          <w:p w14:paraId="5403C804">
            <w:pPr>
              <w:pStyle w:val="13"/>
              <w:spacing w:line="256" w:lineRule="auto"/>
            </w:pPr>
          </w:p>
          <w:p w14:paraId="223F7A5B">
            <w:pPr>
              <w:pStyle w:val="13"/>
              <w:spacing w:line="256" w:lineRule="auto"/>
            </w:pPr>
          </w:p>
          <w:p w14:paraId="49D7DF6C">
            <w:pPr>
              <w:pStyle w:val="13"/>
              <w:spacing w:line="256" w:lineRule="auto"/>
            </w:pPr>
          </w:p>
          <w:p w14:paraId="587E351D">
            <w:pPr>
              <w:pStyle w:val="13"/>
              <w:spacing w:line="256" w:lineRule="auto"/>
            </w:pPr>
          </w:p>
          <w:p w14:paraId="7C8336FF">
            <w:pPr>
              <w:spacing w:before="65" w:line="228" w:lineRule="auto"/>
              <w:ind w:left="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家长签字：</w:t>
            </w:r>
          </w:p>
        </w:tc>
        <w:tc>
          <w:tcPr>
            <w:tcW w:w="2722" w:type="dxa"/>
            <w:tcBorders>
              <w:left w:val="nil"/>
            </w:tcBorders>
            <w:vAlign w:val="top"/>
          </w:tcPr>
          <w:p w14:paraId="467B9D59">
            <w:pPr>
              <w:pStyle w:val="13"/>
              <w:spacing w:line="255" w:lineRule="auto"/>
            </w:pPr>
          </w:p>
          <w:p w14:paraId="51706C06">
            <w:pPr>
              <w:pStyle w:val="13"/>
              <w:spacing w:line="255" w:lineRule="auto"/>
            </w:pPr>
          </w:p>
          <w:p w14:paraId="27001E5A">
            <w:pPr>
              <w:pStyle w:val="13"/>
              <w:spacing w:line="255" w:lineRule="auto"/>
            </w:pPr>
          </w:p>
          <w:p w14:paraId="2ECCC040">
            <w:pPr>
              <w:pStyle w:val="13"/>
              <w:spacing w:line="255" w:lineRule="auto"/>
            </w:pPr>
          </w:p>
          <w:p w14:paraId="1D8F28FD">
            <w:pPr>
              <w:pStyle w:val="13"/>
              <w:spacing w:line="256" w:lineRule="auto"/>
            </w:pPr>
          </w:p>
          <w:p w14:paraId="44CAE8B5">
            <w:pPr>
              <w:pStyle w:val="13"/>
              <w:spacing w:line="256" w:lineRule="auto"/>
            </w:pPr>
          </w:p>
          <w:p w14:paraId="3E1B0968">
            <w:pPr>
              <w:pStyle w:val="13"/>
              <w:spacing w:line="256" w:lineRule="auto"/>
            </w:pPr>
          </w:p>
          <w:p w14:paraId="2F21D28E">
            <w:pPr>
              <w:pStyle w:val="13"/>
              <w:spacing w:line="256" w:lineRule="auto"/>
            </w:pPr>
          </w:p>
          <w:p w14:paraId="1767D9A2">
            <w:pPr>
              <w:pStyle w:val="13"/>
              <w:spacing w:line="256" w:lineRule="auto"/>
            </w:pPr>
          </w:p>
          <w:p w14:paraId="4DF557D1">
            <w:pPr>
              <w:pStyle w:val="13"/>
              <w:spacing w:line="256" w:lineRule="auto"/>
            </w:pPr>
          </w:p>
          <w:p w14:paraId="2CFCBFC2">
            <w:pPr>
              <w:spacing w:before="65" w:line="228" w:lineRule="auto"/>
              <w:ind w:left="58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  <w:tr w14:paraId="7F446A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8" w:hRule="atLeast"/>
        </w:trPr>
        <w:tc>
          <w:tcPr>
            <w:tcW w:w="1596" w:type="dxa"/>
            <w:vAlign w:val="top"/>
          </w:tcPr>
          <w:p w14:paraId="57A3F37B">
            <w:pPr>
              <w:pStyle w:val="13"/>
              <w:spacing w:line="241" w:lineRule="auto"/>
            </w:pPr>
          </w:p>
          <w:p w14:paraId="5220640F">
            <w:pPr>
              <w:pStyle w:val="13"/>
              <w:spacing w:line="242" w:lineRule="auto"/>
            </w:pPr>
          </w:p>
          <w:p w14:paraId="12FE3F28">
            <w:pPr>
              <w:pStyle w:val="13"/>
              <w:spacing w:line="242" w:lineRule="auto"/>
            </w:pPr>
          </w:p>
          <w:p w14:paraId="741F08EF">
            <w:pPr>
              <w:pStyle w:val="13"/>
              <w:spacing w:line="242" w:lineRule="auto"/>
            </w:pPr>
          </w:p>
          <w:p w14:paraId="2FF5DE88">
            <w:pPr>
              <w:spacing w:before="65" w:line="228" w:lineRule="auto"/>
              <w:ind w:left="28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辅导员审核</w:t>
            </w:r>
          </w:p>
          <w:p w14:paraId="22AA39E7">
            <w:pPr>
              <w:spacing w:before="64" w:line="228" w:lineRule="auto"/>
              <w:ind w:left="11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情况（在校表现</w:t>
            </w:r>
          </w:p>
          <w:p w14:paraId="080A89AF">
            <w:pPr>
              <w:spacing w:before="65" w:line="228" w:lineRule="auto"/>
              <w:ind w:left="49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情况）</w:t>
            </w:r>
          </w:p>
        </w:tc>
        <w:tc>
          <w:tcPr>
            <w:tcW w:w="3112" w:type="dxa"/>
            <w:tcBorders>
              <w:right w:val="nil"/>
            </w:tcBorders>
            <w:vAlign w:val="top"/>
          </w:tcPr>
          <w:p w14:paraId="244D3DB9">
            <w:pPr>
              <w:pStyle w:val="13"/>
              <w:spacing w:line="254" w:lineRule="auto"/>
            </w:pPr>
          </w:p>
          <w:p w14:paraId="2161BEAC">
            <w:pPr>
              <w:pStyle w:val="13"/>
              <w:spacing w:line="254" w:lineRule="auto"/>
            </w:pPr>
          </w:p>
          <w:p w14:paraId="2ED5DF58">
            <w:pPr>
              <w:pStyle w:val="13"/>
              <w:spacing w:line="254" w:lineRule="auto"/>
            </w:pPr>
          </w:p>
          <w:p w14:paraId="0A955F1A">
            <w:pPr>
              <w:pStyle w:val="13"/>
              <w:spacing w:line="254" w:lineRule="auto"/>
            </w:pPr>
          </w:p>
          <w:p w14:paraId="73F1C83A">
            <w:pPr>
              <w:pStyle w:val="13"/>
              <w:spacing w:line="254" w:lineRule="auto"/>
            </w:pPr>
          </w:p>
          <w:p w14:paraId="55344E33">
            <w:pPr>
              <w:pStyle w:val="13"/>
              <w:spacing w:line="254" w:lineRule="auto"/>
            </w:pPr>
          </w:p>
          <w:p w14:paraId="38FE1482">
            <w:pPr>
              <w:pStyle w:val="13"/>
              <w:spacing w:line="254" w:lineRule="auto"/>
            </w:pPr>
          </w:p>
          <w:p w14:paraId="19AE0A42">
            <w:pPr>
              <w:pStyle w:val="13"/>
              <w:spacing w:line="254" w:lineRule="auto"/>
            </w:pPr>
          </w:p>
          <w:p w14:paraId="17C44C31">
            <w:pPr>
              <w:pStyle w:val="13"/>
              <w:spacing w:line="254" w:lineRule="auto"/>
            </w:pPr>
          </w:p>
          <w:p w14:paraId="5CF12200">
            <w:pPr>
              <w:pStyle w:val="13"/>
              <w:spacing w:line="254" w:lineRule="auto"/>
            </w:pPr>
          </w:p>
          <w:p w14:paraId="0471E55A">
            <w:pPr>
              <w:spacing w:before="65" w:line="228" w:lineRule="auto"/>
              <w:ind w:left="1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签字：</w:t>
            </w:r>
          </w:p>
        </w:tc>
        <w:tc>
          <w:tcPr>
            <w:tcW w:w="1809" w:type="dxa"/>
            <w:tcBorders>
              <w:left w:val="nil"/>
              <w:right w:val="nil"/>
            </w:tcBorders>
            <w:vAlign w:val="top"/>
          </w:tcPr>
          <w:p w14:paraId="293AF2A1">
            <w:pPr>
              <w:pStyle w:val="13"/>
              <w:spacing w:line="254" w:lineRule="auto"/>
            </w:pPr>
          </w:p>
          <w:p w14:paraId="25F7F8F8">
            <w:pPr>
              <w:pStyle w:val="13"/>
              <w:spacing w:line="254" w:lineRule="auto"/>
            </w:pPr>
          </w:p>
          <w:p w14:paraId="748008C8">
            <w:pPr>
              <w:pStyle w:val="13"/>
              <w:spacing w:line="254" w:lineRule="auto"/>
            </w:pPr>
          </w:p>
          <w:p w14:paraId="0CF96820">
            <w:pPr>
              <w:pStyle w:val="13"/>
              <w:spacing w:line="254" w:lineRule="auto"/>
            </w:pPr>
          </w:p>
          <w:p w14:paraId="5EDDFBEE">
            <w:pPr>
              <w:pStyle w:val="13"/>
              <w:spacing w:line="254" w:lineRule="auto"/>
            </w:pPr>
          </w:p>
          <w:p w14:paraId="553255CE">
            <w:pPr>
              <w:pStyle w:val="13"/>
              <w:spacing w:line="254" w:lineRule="auto"/>
            </w:pPr>
          </w:p>
          <w:p w14:paraId="0E7B40A0">
            <w:pPr>
              <w:pStyle w:val="13"/>
              <w:spacing w:line="254" w:lineRule="auto"/>
            </w:pPr>
          </w:p>
          <w:p w14:paraId="14176727">
            <w:pPr>
              <w:pStyle w:val="13"/>
              <w:spacing w:line="254" w:lineRule="auto"/>
            </w:pPr>
          </w:p>
          <w:p w14:paraId="535066D5">
            <w:pPr>
              <w:pStyle w:val="13"/>
              <w:spacing w:line="254" w:lineRule="auto"/>
            </w:pPr>
          </w:p>
          <w:p w14:paraId="7BA14626">
            <w:pPr>
              <w:pStyle w:val="13"/>
              <w:spacing w:line="254" w:lineRule="auto"/>
            </w:pPr>
          </w:p>
          <w:p w14:paraId="05BC349F">
            <w:pPr>
              <w:spacing w:before="65" w:line="228" w:lineRule="auto"/>
              <w:ind w:left="15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</w:p>
        </w:tc>
        <w:tc>
          <w:tcPr>
            <w:tcW w:w="2722" w:type="dxa"/>
            <w:tcBorders>
              <w:left w:val="nil"/>
            </w:tcBorders>
            <w:vAlign w:val="top"/>
          </w:tcPr>
          <w:p w14:paraId="4DA0BF04">
            <w:pPr>
              <w:pStyle w:val="13"/>
              <w:spacing w:line="254" w:lineRule="auto"/>
            </w:pPr>
          </w:p>
          <w:p w14:paraId="3D478FE3">
            <w:pPr>
              <w:pStyle w:val="13"/>
              <w:spacing w:line="254" w:lineRule="auto"/>
            </w:pPr>
          </w:p>
          <w:p w14:paraId="468FC47D">
            <w:pPr>
              <w:pStyle w:val="13"/>
              <w:spacing w:line="254" w:lineRule="auto"/>
            </w:pPr>
          </w:p>
          <w:p w14:paraId="2FB4A97E">
            <w:pPr>
              <w:pStyle w:val="13"/>
              <w:spacing w:line="254" w:lineRule="auto"/>
            </w:pPr>
          </w:p>
          <w:p w14:paraId="20CF2AF5">
            <w:pPr>
              <w:pStyle w:val="13"/>
              <w:spacing w:line="254" w:lineRule="auto"/>
            </w:pPr>
          </w:p>
          <w:p w14:paraId="7539F208">
            <w:pPr>
              <w:pStyle w:val="13"/>
              <w:spacing w:line="254" w:lineRule="auto"/>
            </w:pPr>
          </w:p>
          <w:p w14:paraId="1FD1F206">
            <w:pPr>
              <w:pStyle w:val="13"/>
              <w:spacing w:line="254" w:lineRule="auto"/>
            </w:pPr>
          </w:p>
          <w:p w14:paraId="293A2C9C">
            <w:pPr>
              <w:pStyle w:val="13"/>
              <w:spacing w:line="254" w:lineRule="auto"/>
            </w:pPr>
          </w:p>
          <w:p w14:paraId="735E7841">
            <w:pPr>
              <w:pStyle w:val="13"/>
              <w:spacing w:line="254" w:lineRule="auto"/>
            </w:pPr>
          </w:p>
          <w:p w14:paraId="3A58F458">
            <w:pPr>
              <w:pStyle w:val="13"/>
              <w:spacing w:line="254" w:lineRule="auto"/>
            </w:pPr>
          </w:p>
          <w:p w14:paraId="59D9233B">
            <w:pPr>
              <w:spacing w:before="65" w:line="228" w:lineRule="auto"/>
              <w:ind w:left="3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</w:tr>
      <w:tr w14:paraId="205906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</w:trPr>
        <w:tc>
          <w:tcPr>
            <w:tcW w:w="1596" w:type="dxa"/>
            <w:vAlign w:val="top"/>
          </w:tcPr>
          <w:p w14:paraId="569DB436">
            <w:pPr>
              <w:pStyle w:val="13"/>
              <w:spacing w:line="280" w:lineRule="auto"/>
            </w:pPr>
          </w:p>
          <w:p w14:paraId="45920FD6">
            <w:pPr>
              <w:pStyle w:val="13"/>
              <w:spacing w:line="281" w:lineRule="auto"/>
            </w:pPr>
          </w:p>
          <w:p w14:paraId="3532E1E2">
            <w:pPr>
              <w:pStyle w:val="13"/>
              <w:spacing w:line="281" w:lineRule="auto"/>
            </w:pPr>
          </w:p>
          <w:p w14:paraId="4146575A">
            <w:pPr>
              <w:pStyle w:val="13"/>
              <w:spacing w:line="281" w:lineRule="auto"/>
            </w:pPr>
          </w:p>
          <w:p w14:paraId="35A51648">
            <w:pPr>
              <w:spacing w:before="65" w:line="289" w:lineRule="auto"/>
              <w:ind w:left="545" w:right="271" w:hanging="26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拟转出学院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意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见</w:t>
            </w:r>
          </w:p>
        </w:tc>
        <w:tc>
          <w:tcPr>
            <w:tcW w:w="3112" w:type="dxa"/>
            <w:tcBorders>
              <w:right w:val="nil"/>
            </w:tcBorders>
            <w:vAlign w:val="top"/>
          </w:tcPr>
          <w:p w14:paraId="0A6A214C">
            <w:pPr>
              <w:pStyle w:val="13"/>
              <w:spacing w:line="262" w:lineRule="auto"/>
            </w:pPr>
          </w:p>
          <w:p w14:paraId="10C6DF3C">
            <w:pPr>
              <w:pStyle w:val="13"/>
              <w:spacing w:line="262" w:lineRule="auto"/>
            </w:pPr>
          </w:p>
          <w:p w14:paraId="6C954101">
            <w:pPr>
              <w:pStyle w:val="13"/>
              <w:spacing w:line="262" w:lineRule="auto"/>
            </w:pPr>
          </w:p>
          <w:p w14:paraId="0D691DC3">
            <w:pPr>
              <w:pStyle w:val="13"/>
              <w:spacing w:line="262" w:lineRule="auto"/>
            </w:pPr>
          </w:p>
          <w:p w14:paraId="6269A12A">
            <w:pPr>
              <w:pStyle w:val="13"/>
              <w:spacing w:line="262" w:lineRule="auto"/>
            </w:pPr>
          </w:p>
          <w:p w14:paraId="7372BD51">
            <w:pPr>
              <w:pStyle w:val="13"/>
              <w:spacing w:line="263" w:lineRule="auto"/>
            </w:pPr>
          </w:p>
          <w:p w14:paraId="145B8CB5">
            <w:pPr>
              <w:pStyle w:val="13"/>
              <w:spacing w:line="263" w:lineRule="auto"/>
            </w:pPr>
          </w:p>
          <w:p w14:paraId="50F85BE6">
            <w:pPr>
              <w:pStyle w:val="13"/>
              <w:spacing w:line="263" w:lineRule="auto"/>
            </w:pPr>
          </w:p>
          <w:p w14:paraId="38577E5D">
            <w:pPr>
              <w:pStyle w:val="13"/>
              <w:spacing w:line="263" w:lineRule="auto"/>
            </w:pPr>
          </w:p>
          <w:p w14:paraId="7F9C6225">
            <w:pPr>
              <w:spacing w:before="65" w:line="227" w:lineRule="auto"/>
              <w:ind w:left="1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盖章：</w:t>
            </w:r>
          </w:p>
        </w:tc>
        <w:tc>
          <w:tcPr>
            <w:tcW w:w="1809" w:type="dxa"/>
            <w:tcBorders>
              <w:left w:val="nil"/>
              <w:right w:val="nil"/>
            </w:tcBorders>
            <w:vAlign w:val="top"/>
          </w:tcPr>
          <w:p w14:paraId="3C6B8A0C">
            <w:pPr>
              <w:pStyle w:val="13"/>
              <w:spacing w:line="262" w:lineRule="auto"/>
            </w:pPr>
          </w:p>
          <w:p w14:paraId="0A3079DB">
            <w:pPr>
              <w:pStyle w:val="13"/>
              <w:spacing w:line="262" w:lineRule="auto"/>
            </w:pPr>
          </w:p>
          <w:p w14:paraId="0E231D3E">
            <w:pPr>
              <w:pStyle w:val="13"/>
              <w:spacing w:line="262" w:lineRule="auto"/>
            </w:pPr>
          </w:p>
          <w:p w14:paraId="03740906">
            <w:pPr>
              <w:pStyle w:val="13"/>
              <w:spacing w:line="262" w:lineRule="auto"/>
            </w:pPr>
          </w:p>
          <w:p w14:paraId="23B4D608">
            <w:pPr>
              <w:pStyle w:val="13"/>
              <w:spacing w:line="262" w:lineRule="auto"/>
            </w:pPr>
          </w:p>
          <w:p w14:paraId="6B821D77">
            <w:pPr>
              <w:pStyle w:val="13"/>
              <w:spacing w:line="263" w:lineRule="auto"/>
            </w:pPr>
          </w:p>
          <w:p w14:paraId="49C1A4D0">
            <w:pPr>
              <w:pStyle w:val="13"/>
              <w:spacing w:line="263" w:lineRule="auto"/>
            </w:pPr>
          </w:p>
          <w:p w14:paraId="6E77439B">
            <w:pPr>
              <w:pStyle w:val="13"/>
              <w:spacing w:line="263" w:lineRule="auto"/>
            </w:pPr>
          </w:p>
          <w:p w14:paraId="362F64E6">
            <w:pPr>
              <w:pStyle w:val="13"/>
              <w:spacing w:line="263" w:lineRule="auto"/>
            </w:pPr>
          </w:p>
          <w:p w14:paraId="6D20EE84">
            <w:pPr>
              <w:spacing w:before="65" w:line="228" w:lineRule="auto"/>
              <w:ind w:left="15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</w:p>
        </w:tc>
        <w:tc>
          <w:tcPr>
            <w:tcW w:w="2722" w:type="dxa"/>
            <w:tcBorders>
              <w:left w:val="nil"/>
            </w:tcBorders>
            <w:vAlign w:val="top"/>
          </w:tcPr>
          <w:p w14:paraId="416EBEAC">
            <w:pPr>
              <w:pStyle w:val="13"/>
              <w:spacing w:line="262" w:lineRule="auto"/>
            </w:pPr>
          </w:p>
          <w:p w14:paraId="19E755BA">
            <w:pPr>
              <w:pStyle w:val="13"/>
              <w:spacing w:line="262" w:lineRule="auto"/>
            </w:pPr>
          </w:p>
          <w:p w14:paraId="27EB83AE">
            <w:pPr>
              <w:pStyle w:val="13"/>
              <w:spacing w:line="262" w:lineRule="auto"/>
            </w:pPr>
          </w:p>
          <w:p w14:paraId="2044B563">
            <w:pPr>
              <w:pStyle w:val="13"/>
              <w:spacing w:line="262" w:lineRule="auto"/>
            </w:pPr>
          </w:p>
          <w:p w14:paraId="20BEC432">
            <w:pPr>
              <w:pStyle w:val="13"/>
              <w:spacing w:line="262" w:lineRule="auto"/>
            </w:pPr>
          </w:p>
          <w:p w14:paraId="17615D85">
            <w:pPr>
              <w:pStyle w:val="13"/>
              <w:spacing w:line="263" w:lineRule="auto"/>
            </w:pPr>
          </w:p>
          <w:p w14:paraId="06236B01">
            <w:pPr>
              <w:pStyle w:val="13"/>
              <w:spacing w:line="263" w:lineRule="auto"/>
            </w:pPr>
          </w:p>
          <w:p w14:paraId="01F1C888">
            <w:pPr>
              <w:pStyle w:val="13"/>
              <w:spacing w:line="263" w:lineRule="auto"/>
            </w:pPr>
          </w:p>
          <w:p w14:paraId="47F2F5A1">
            <w:pPr>
              <w:pStyle w:val="13"/>
              <w:spacing w:line="263" w:lineRule="auto"/>
            </w:pPr>
          </w:p>
          <w:p w14:paraId="12308969">
            <w:pPr>
              <w:spacing w:before="65" w:line="228" w:lineRule="auto"/>
              <w:ind w:left="3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</w:tr>
    </w:tbl>
    <w:p w14:paraId="07AA2867">
      <w:pPr>
        <w:pStyle w:val="3"/>
        <w:spacing w:before="172" w:line="214" w:lineRule="auto"/>
        <w:ind w:left="319"/>
        <w:rPr>
          <w:sz w:val="28"/>
          <w:szCs w:val="28"/>
        </w:rPr>
      </w:pPr>
      <w:r>
        <w:rPr>
          <w:spacing w:val="-1"/>
          <w:sz w:val="28"/>
          <w:szCs w:val="28"/>
        </w:rPr>
        <w:t>注：本表一式两份，转出学院存档一份，交教务处学籍科一份。</w:t>
      </w:r>
    </w:p>
    <w:p w14:paraId="4BBE5909">
      <w:pPr>
        <w:spacing w:line="214" w:lineRule="auto"/>
        <w:rPr>
          <w:sz w:val="28"/>
          <w:szCs w:val="28"/>
        </w:rPr>
        <w:sectPr>
          <w:footerReference r:id="rId4" w:type="default"/>
          <w:pgSz w:w="11906" w:h="16839"/>
          <w:pgMar w:top="1431" w:right="1331" w:bottom="1153" w:left="1330" w:header="0" w:footer="994" w:gutter="0"/>
          <w:cols w:space="720" w:num="1"/>
        </w:sectPr>
      </w:pPr>
    </w:p>
    <w:p w14:paraId="27DF3B3A">
      <w:pPr>
        <w:pStyle w:val="3"/>
        <w:spacing w:before="136" w:line="229" w:lineRule="auto"/>
        <w:ind w:left="504"/>
      </w:pPr>
      <w:r>
        <w:rPr>
          <w:spacing w:val="-2"/>
        </w:rPr>
        <w:t>附表2：</w:t>
      </w:r>
    </w:p>
    <w:p w14:paraId="18CE3875">
      <w:pPr>
        <w:spacing w:before="122" w:line="195" w:lineRule="auto"/>
        <w:ind w:left="1417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b/>
          <w:bCs/>
          <w:spacing w:val="8"/>
          <w:sz w:val="43"/>
          <w:szCs w:val="43"/>
        </w:rPr>
        <w:t>湖南女子学院专业调整拟转出学生名单</w:t>
      </w:r>
    </w:p>
    <w:p w14:paraId="2AC6EBDD">
      <w:pPr>
        <w:pStyle w:val="3"/>
        <w:spacing w:before="260" w:line="224" w:lineRule="auto"/>
        <w:ind w:left="494"/>
      </w:pPr>
      <w:r>
        <w:rPr>
          <w:spacing w:val="9"/>
        </w:rPr>
        <w:t>转出学院（公章</w:t>
      </w:r>
      <w:r>
        <w:rPr>
          <w:spacing w:val="11"/>
        </w:rPr>
        <w:t>）：</w:t>
      </w:r>
    </w:p>
    <w:p w14:paraId="332C1926">
      <w:pPr>
        <w:spacing w:line="94" w:lineRule="exact"/>
      </w:pPr>
    </w:p>
    <w:tbl>
      <w:tblPr>
        <w:tblStyle w:val="12"/>
        <w:tblW w:w="103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600"/>
        <w:gridCol w:w="1198"/>
        <w:gridCol w:w="791"/>
        <w:gridCol w:w="1840"/>
        <w:gridCol w:w="1072"/>
        <w:gridCol w:w="1703"/>
        <w:gridCol w:w="1405"/>
      </w:tblGrid>
      <w:tr w14:paraId="38153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734" w:type="dxa"/>
            <w:vAlign w:val="top"/>
          </w:tcPr>
          <w:p w14:paraId="5EB84BE9">
            <w:pPr>
              <w:spacing w:before="211" w:line="217" w:lineRule="auto"/>
              <w:ind w:left="1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1600" w:type="dxa"/>
            <w:vAlign w:val="top"/>
          </w:tcPr>
          <w:p w14:paraId="19B763A7">
            <w:pPr>
              <w:spacing w:before="211" w:line="218" w:lineRule="auto"/>
              <w:ind w:left="5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学号</w:t>
            </w:r>
          </w:p>
        </w:tc>
        <w:tc>
          <w:tcPr>
            <w:tcW w:w="1198" w:type="dxa"/>
            <w:vAlign w:val="top"/>
          </w:tcPr>
          <w:p w14:paraId="1549717E">
            <w:pPr>
              <w:spacing w:before="212" w:line="219" w:lineRule="auto"/>
              <w:ind w:left="3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791" w:type="dxa"/>
            <w:vAlign w:val="top"/>
          </w:tcPr>
          <w:p w14:paraId="70B31960">
            <w:pPr>
              <w:spacing w:before="60" w:line="214" w:lineRule="auto"/>
              <w:ind w:left="1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转出</w:t>
            </w:r>
          </w:p>
          <w:p w14:paraId="33EF0890">
            <w:pPr>
              <w:spacing w:before="21" w:line="216" w:lineRule="auto"/>
              <w:ind w:left="1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年级</w:t>
            </w:r>
          </w:p>
        </w:tc>
        <w:tc>
          <w:tcPr>
            <w:tcW w:w="1840" w:type="dxa"/>
            <w:vAlign w:val="top"/>
          </w:tcPr>
          <w:p w14:paraId="26480614">
            <w:pPr>
              <w:spacing w:before="211" w:line="214" w:lineRule="auto"/>
              <w:ind w:left="4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转出专业</w:t>
            </w:r>
          </w:p>
        </w:tc>
        <w:tc>
          <w:tcPr>
            <w:tcW w:w="1072" w:type="dxa"/>
            <w:vAlign w:val="top"/>
          </w:tcPr>
          <w:p w14:paraId="67333ACE">
            <w:pPr>
              <w:spacing w:before="60" w:line="214" w:lineRule="auto"/>
              <w:ind w:left="21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申请转</w:t>
            </w:r>
          </w:p>
          <w:p w14:paraId="0332CDCC">
            <w:pPr>
              <w:spacing w:before="21" w:line="216" w:lineRule="auto"/>
              <w:ind w:left="1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入年级</w:t>
            </w:r>
          </w:p>
        </w:tc>
        <w:tc>
          <w:tcPr>
            <w:tcW w:w="1703" w:type="dxa"/>
            <w:vAlign w:val="top"/>
          </w:tcPr>
          <w:p w14:paraId="7952E726">
            <w:pPr>
              <w:spacing w:before="211" w:line="214" w:lineRule="auto"/>
              <w:ind w:left="16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申请转入专业</w:t>
            </w:r>
          </w:p>
        </w:tc>
        <w:tc>
          <w:tcPr>
            <w:tcW w:w="1405" w:type="dxa"/>
            <w:vAlign w:val="top"/>
          </w:tcPr>
          <w:p w14:paraId="6356A14C">
            <w:pPr>
              <w:spacing w:before="61" w:line="223" w:lineRule="auto"/>
              <w:ind w:left="353" w:right="215" w:hanging="9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申请转专</w:t>
            </w: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业理由</w:t>
            </w:r>
          </w:p>
        </w:tc>
      </w:tr>
      <w:tr w14:paraId="0B28F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13D5EE10">
            <w:pPr>
              <w:pStyle w:val="13"/>
            </w:pPr>
          </w:p>
        </w:tc>
        <w:tc>
          <w:tcPr>
            <w:tcW w:w="1600" w:type="dxa"/>
            <w:vAlign w:val="top"/>
          </w:tcPr>
          <w:p w14:paraId="2287D324">
            <w:pPr>
              <w:pStyle w:val="13"/>
            </w:pPr>
          </w:p>
        </w:tc>
        <w:tc>
          <w:tcPr>
            <w:tcW w:w="1198" w:type="dxa"/>
            <w:vAlign w:val="top"/>
          </w:tcPr>
          <w:p w14:paraId="70B85759">
            <w:pPr>
              <w:pStyle w:val="13"/>
            </w:pPr>
          </w:p>
        </w:tc>
        <w:tc>
          <w:tcPr>
            <w:tcW w:w="791" w:type="dxa"/>
            <w:vAlign w:val="top"/>
          </w:tcPr>
          <w:p w14:paraId="65B3292D">
            <w:pPr>
              <w:pStyle w:val="13"/>
            </w:pPr>
          </w:p>
        </w:tc>
        <w:tc>
          <w:tcPr>
            <w:tcW w:w="1840" w:type="dxa"/>
            <w:vAlign w:val="top"/>
          </w:tcPr>
          <w:p w14:paraId="6A6647D6">
            <w:pPr>
              <w:pStyle w:val="13"/>
            </w:pPr>
          </w:p>
        </w:tc>
        <w:tc>
          <w:tcPr>
            <w:tcW w:w="1072" w:type="dxa"/>
            <w:vAlign w:val="top"/>
          </w:tcPr>
          <w:p w14:paraId="450BD8F3">
            <w:pPr>
              <w:pStyle w:val="13"/>
            </w:pPr>
          </w:p>
        </w:tc>
        <w:tc>
          <w:tcPr>
            <w:tcW w:w="1703" w:type="dxa"/>
            <w:vAlign w:val="top"/>
          </w:tcPr>
          <w:p w14:paraId="51941840">
            <w:pPr>
              <w:pStyle w:val="13"/>
            </w:pPr>
          </w:p>
        </w:tc>
        <w:tc>
          <w:tcPr>
            <w:tcW w:w="1405" w:type="dxa"/>
            <w:vAlign w:val="top"/>
          </w:tcPr>
          <w:p w14:paraId="56881B92">
            <w:pPr>
              <w:pStyle w:val="13"/>
            </w:pPr>
          </w:p>
        </w:tc>
      </w:tr>
      <w:tr w14:paraId="39A8D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4" w:type="dxa"/>
            <w:vAlign w:val="top"/>
          </w:tcPr>
          <w:p w14:paraId="048647AC">
            <w:pPr>
              <w:pStyle w:val="13"/>
            </w:pPr>
          </w:p>
        </w:tc>
        <w:tc>
          <w:tcPr>
            <w:tcW w:w="1600" w:type="dxa"/>
            <w:vAlign w:val="top"/>
          </w:tcPr>
          <w:p w14:paraId="684E141A">
            <w:pPr>
              <w:pStyle w:val="13"/>
            </w:pPr>
          </w:p>
        </w:tc>
        <w:tc>
          <w:tcPr>
            <w:tcW w:w="1198" w:type="dxa"/>
            <w:vAlign w:val="top"/>
          </w:tcPr>
          <w:p w14:paraId="2C871AFB">
            <w:pPr>
              <w:pStyle w:val="13"/>
            </w:pPr>
          </w:p>
        </w:tc>
        <w:tc>
          <w:tcPr>
            <w:tcW w:w="791" w:type="dxa"/>
            <w:vAlign w:val="top"/>
          </w:tcPr>
          <w:p w14:paraId="5F2D0192">
            <w:pPr>
              <w:pStyle w:val="13"/>
            </w:pPr>
          </w:p>
        </w:tc>
        <w:tc>
          <w:tcPr>
            <w:tcW w:w="1840" w:type="dxa"/>
            <w:vAlign w:val="top"/>
          </w:tcPr>
          <w:p w14:paraId="62AE35A7">
            <w:pPr>
              <w:pStyle w:val="13"/>
            </w:pPr>
          </w:p>
        </w:tc>
        <w:tc>
          <w:tcPr>
            <w:tcW w:w="1072" w:type="dxa"/>
            <w:vAlign w:val="top"/>
          </w:tcPr>
          <w:p w14:paraId="4F9C600B">
            <w:pPr>
              <w:pStyle w:val="13"/>
            </w:pPr>
          </w:p>
        </w:tc>
        <w:tc>
          <w:tcPr>
            <w:tcW w:w="1703" w:type="dxa"/>
            <w:vAlign w:val="top"/>
          </w:tcPr>
          <w:p w14:paraId="34CC7ECE">
            <w:pPr>
              <w:pStyle w:val="13"/>
            </w:pPr>
          </w:p>
        </w:tc>
        <w:tc>
          <w:tcPr>
            <w:tcW w:w="1405" w:type="dxa"/>
            <w:vAlign w:val="top"/>
          </w:tcPr>
          <w:p w14:paraId="0BC7AB66">
            <w:pPr>
              <w:pStyle w:val="13"/>
            </w:pPr>
          </w:p>
        </w:tc>
      </w:tr>
      <w:tr w14:paraId="27225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338D721E">
            <w:pPr>
              <w:pStyle w:val="13"/>
            </w:pPr>
          </w:p>
        </w:tc>
        <w:tc>
          <w:tcPr>
            <w:tcW w:w="1600" w:type="dxa"/>
            <w:vAlign w:val="top"/>
          </w:tcPr>
          <w:p w14:paraId="7AE33477">
            <w:pPr>
              <w:pStyle w:val="13"/>
            </w:pPr>
          </w:p>
        </w:tc>
        <w:tc>
          <w:tcPr>
            <w:tcW w:w="1198" w:type="dxa"/>
            <w:vAlign w:val="top"/>
          </w:tcPr>
          <w:p w14:paraId="57CA7FFE">
            <w:pPr>
              <w:pStyle w:val="13"/>
            </w:pPr>
          </w:p>
        </w:tc>
        <w:tc>
          <w:tcPr>
            <w:tcW w:w="791" w:type="dxa"/>
            <w:vAlign w:val="top"/>
          </w:tcPr>
          <w:p w14:paraId="34F7EAB8">
            <w:pPr>
              <w:pStyle w:val="13"/>
            </w:pPr>
          </w:p>
        </w:tc>
        <w:tc>
          <w:tcPr>
            <w:tcW w:w="1840" w:type="dxa"/>
            <w:vAlign w:val="top"/>
          </w:tcPr>
          <w:p w14:paraId="08EDFC9C">
            <w:pPr>
              <w:pStyle w:val="13"/>
            </w:pPr>
          </w:p>
        </w:tc>
        <w:tc>
          <w:tcPr>
            <w:tcW w:w="1072" w:type="dxa"/>
            <w:vAlign w:val="top"/>
          </w:tcPr>
          <w:p w14:paraId="019A33B1">
            <w:pPr>
              <w:pStyle w:val="13"/>
            </w:pPr>
          </w:p>
        </w:tc>
        <w:tc>
          <w:tcPr>
            <w:tcW w:w="1703" w:type="dxa"/>
            <w:vAlign w:val="top"/>
          </w:tcPr>
          <w:p w14:paraId="43D2EC50">
            <w:pPr>
              <w:pStyle w:val="13"/>
            </w:pPr>
          </w:p>
        </w:tc>
        <w:tc>
          <w:tcPr>
            <w:tcW w:w="1405" w:type="dxa"/>
            <w:vAlign w:val="top"/>
          </w:tcPr>
          <w:p w14:paraId="4D9F4E0A">
            <w:pPr>
              <w:pStyle w:val="13"/>
            </w:pPr>
          </w:p>
        </w:tc>
      </w:tr>
      <w:tr w14:paraId="594F0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4" w:type="dxa"/>
            <w:vAlign w:val="top"/>
          </w:tcPr>
          <w:p w14:paraId="05988A44">
            <w:pPr>
              <w:pStyle w:val="13"/>
            </w:pPr>
          </w:p>
        </w:tc>
        <w:tc>
          <w:tcPr>
            <w:tcW w:w="1600" w:type="dxa"/>
            <w:vAlign w:val="top"/>
          </w:tcPr>
          <w:p w14:paraId="34F40B04">
            <w:pPr>
              <w:pStyle w:val="13"/>
            </w:pPr>
          </w:p>
        </w:tc>
        <w:tc>
          <w:tcPr>
            <w:tcW w:w="1198" w:type="dxa"/>
            <w:vAlign w:val="top"/>
          </w:tcPr>
          <w:p w14:paraId="3C110F44">
            <w:pPr>
              <w:pStyle w:val="13"/>
            </w:pPr>
          </w:p>
        </w:tc>
        <w:tc>
          <w:tcPr>
            <w:tcW w:w="791" w:type="dxa"/>
            <w:vAlign w:val="top"/>
          </w:tcPr>
          <w:p w14:paraId="21D0781E">
            <w:pPr>
              <w:pStyle w:val="13"/>
            </w:pPr>
          </w:p>
        </w:tc>
        <w:tc>
          <w:tcPr>
            <w:tcW w:w="1840" w:type="dxa"/>
            <w:vAlign w:val="top"/>
          </w:tcPr>
          <w:p w14:paraId="2AE4BE8A">
            <w:pPr>
              <w:pStyle w:val="13"/>
            </w:pPr>
          </w:p>
        </w:tc>
        <w:tc>
          <w:tcPr>
            <w:tcW w:w="1072" w:type="dxa"/>
            <w:vAlign w:val="top"/>
          </w:tcPr>
          <w:p w14:paraId="0E321B49">
            <w:pPr>
              <w:pStyle w:val="13"/>
            </w:pPr>
          </w:p>
        </w:tc>
        <w:tc>
          <w:tcPr>
            <w:tcW w:w="1703" w:type="dxa"/>
            <w:vAlign w:val="top"/>
          </w:tcPr>
          <w:p w14:paraId="6D6D63AF">
            <w:pPr>
              <w:pStyle w:val="13"/>
            </w:pPr>
          </w:p>
        </w:tc>
        <w:tc>
          <w:tcPr>
            <w:tcW w:w="1405" w:type="dxa"/>
            <w:vAlign w:val="top"/>
          </w:tcPr>
          <w:p w14:paraId="29101B98">
            <w:pPr>
              <w:pStyle w:val="13"/>
            </w:pPr>
          </w:p>
        </w:tc>
      </w:tr>
      <w:tr w14:paraId="1C12F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4" w:type="dxa"/>
            <w:vAlign w:val="top"/>
          </w:tcPr>
          <w:p w14:paraId="321A351C">
            <w:pPr>
              <w:pStyle w:val="13"/>
            </w:pPr>
          </w:p>
        </w:tc>
        <w:tc>
          <w:tcPr>
            <w:tcW w:w="1600" w:type="dxa"/>
            <w:vAlign w:val="top"/>
          </w:tcPr>
          <w:p w14:paraId="74AA52BA">
            <w:pPr>
              <w:pStyle w:val="13"/>
            </w:pPr>
          </w:p>
        </w:tc>
        <w:tc>
          <w:tcPr>
            <w:tcW w:w="1198" w:type="dxa"/>
            <w:vAlign w:val="top"/>
          </w:tcPr>
          <w:p w14:paraId="69F262CC">
            <w:pPr>
              <w:pStyle w:val="13"/>
            </w:pPr>
          </w:p>
        </w:tc>
        <w:tc>
          <w:tcPr>
            <w:tcW w:w="791" w:type="dxa"/>
            <w:vAlign w:val="top"/>
          </w:tcPr>
          <w:p w14:paraId="07284429">
            <w:pPr>
              <w:pStyle w:val="13"/>
            </w:pPr>
          </w:p>
        </w:tc>
        <w:tc>
          <w:tcPr>
            <w:tcW w:w="1840" w:type="dxa"/>
            <w:vAlign w:val="top"/>
          </w:tcPr>
          <w:p w14:paraId="579B9ADC">
            <w:pPr>
              <w:pStyle w:val="13"/>
            </w:pPr>
          </w:p>
        </w:tc>
        <w:tc>
          <w:tcPr>
            <w:tcW w:w="1072" w:type="dxa"/>
            <w:vAlign w:val="top"/>
          </w:tcPr>
          <w:p w14:paraId="6DD68DEE">
            <w:pPr>
              <w:pStyle w:val="13"/>
            </w:pPr>
          </w:p>
        </w:tc>
        <w:tc>
          <w:tcPr>
            <w:tcW w:w="1703" w:type="dxa"/>
            <w:vAlign w:val="top"/>
          </w:tcPr>
          <w:p w14:paraId="2528D756">
            <w:pPr>
              <w:pStyle w:val="13"/>
            </w:pPr>
          </w:p>
        </w:tc>
        <w:tc>
          <w:tcPr>
            <w:tcW w:w="1405" w:type="dxa"/>
            <w:vAlign w:val="top"/>
          </w:tcPr>
          <w:p w14:paraId="168C02B9">
            <w:pPr>
              <w:pStyle w:val="13"/>
            </w:pPr>
          </w:p>
        </w:tc>
      </w:tr>
      <w:tr w14:paraId="6B534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3A5273B7">
            <w:pPr>
              <w:pStyle w:val="13"/>
            </w:pPr>
          </w:p>
        </w:tc>
        <w:tc>
          <w:tcPr>
            <w:tcW w:w="1600" w:type="dxa"/>
            <w:vAlign w:val="top"/>
          </w:tcPr>
          <w:p w14:paraId="56EB27E4">
            <w:pPr>
              <w:pStyle w:val="13"/>
            </w:pPr>
          </w:p>
        </w:tc>
        <w:tc>
          <w:tcPr>
            <w:tcW w:w="1198" w:type="dxa"/>
            <w:vAlign w:val="top"/>
          </w:tcPr>
          <w:p w14:paraId="0BE9CBA4">
            <w:pPr>
              <w:pStyle w:val="13"/>
            </w:pPr>
          </w:p>
        </w:tc>
        <w:tc>
          <w:tcPr>
            <w:tcW w:w="791" w:type="dxa"/>
            <w:vAlign w:val="top"/>
          </w:tcPr>
          <w:p w14:paraId="27F43E21">
            <w:pPr>
              <w:pStyle w:val="13"/>
            </w:pPr>
          </w:p>
        </w:tc>
        <w:tc>
          <w:tcPr>
            <w:tcW w:w="1840" w:type="dxa"/>
            <w:vAlign w:val="top"/>
          </w:tcPr>
          <w:p w14:paraId="6A2E8647">
            <w:pPr>
              <w:pStyle w:val="13"/>
            </w:pPr>
          </w:p>
        </w:tc>
        <w:tc>
          <w:tcPr>
            <w:tcW w:w="1072" w:type="dxa"/>
            <w:vAlign w:val="top"/>
          </w:tcPr>
          <w:p w14:paraId="4F419FBF">
            <w:pPr>
              <w:pStyle w:val="13"/>
            </w:pPr>
          </w:p>
        </w:tc>
        <w:tc>
          <w:tcPr>
            <w:tcW w:w="1703" w:type="dxa"/>
            <w:vAlign w:val="top"/>
          </w:tcPr>
          <w:p w14:paraId="6FFDF059">
            <w:pPr>
              <w:pStyle w:val="13"/>
            </w:pPr>
          </w:p>
        </w:tc>
        <w:tc>
          <w:tcPr>
            <w:tcW w:w="1405" w:type="dxa"/>
            <w:vAlign w:val="top"/>
          </w:tcPr>
          <w:p w14:paraId="0BB47981">
            <w:pPr>
              <w:pStyle w:val="13"/>
            </w:pPr>
          </w:p>
        </w:tc>
      </w:tr>
      <w:tr w14:paraId="57277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4" w:type="dxa"/>
            <w:vAlign w:val="top"/>
          </w:tcPr>
          <w:p w14:paraId="01EC8DEF">
            <w:pPr>
              <w:pStyle w:val="13"/>
            </w:pPr>
          </w:p>
        </w:tc>
        <w:tc>
          <w:tcPr>
            <w:tcW w:w="1600" w:type="dxa"/>
            <w:vAlign w:val="top"/>
          </w:tcPr>
          <w:p w14:paraId="704C33ED">
            <w:pPr>
              <w:pStyle w:val="13"/>
            </w:pPr>
          </w:p>
        </w:tc>
        <w:tc>
          <w:tcPr>
            <w:tcW w:w="1198" w:type="dxa"/>
            <w:vAlign w:val="top"/>
          </w:tcPr>
          <w:p w14:paraId="206D29A6">
            <w:pPr>
              <w:pStyle w:val="13"/>
            </w:pPr>
          </w:p>
        </w:tc>
        <w:tc>
          <w:tcPr>
            <w:tcW w:w="791" w:type="dxa"/>
            <w:vAlign w:val="top"/>
          </w:tcPr>
          <w:p w14:paraId="198300D7">
            <w:pPr>
              <w:pStyle w:val="13"/>
            </w:pPr>
          </w:p>
        </w:tc>
        <w:tc>
          <w:tcPr>
            <w:tcW w:w="1840" w:type="dxa"/>
            <w:vAlign w:val="top"/>
          </w:tcPr>
          <w:p w14:paraId="10BB5093">
            <w:pPr>
              <w:pStyle w:val="13"/>
            </w:pPr>
          </w:p>
        </w:tc>
        <w:tc>
          <w:tcPr>
            <w:tcW w:w="1072" w:type="dxa"/>
            <w:vAlign w:val="top"/>
          </w:tcPr>
          <w:p w14:paraId="366BB418">
            <w:pPr>
              <w:pStyle w:val="13"/>
            </w:pPr>
          </w:p>
        </w:tc>
        <w:tc>
          <w:tcPr>
            <w:tcW w:w="1703" w:type="dxa"/>
            <w:vAlign w:val="top"/>
          </w:tcPr>
          <w:p w14:paraId="483CBF9B">
            <w:pPr>
              <w:pStyle w:val="13"/>
            </w:pPr>
          </w:p>
        </w:tc>
        <w:tc>
          <w:tcPr>
            <w:tcW w:w="1405" w:type="dxa"/>
            <w:vAlign w:val="top"/>
          </w:tcPr>
          <w:p w14:paraId="7F01C8C3">
            <w:pPr>
              <w:pStyle w:val="13"/>
            </w:pPr>
          </w:p>
        </w:tc>
      </w:tr>
      <w:tr w14:paraId="14CAD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2A4AFFD7">
            <w:pPr>
              <w:pStyle w:val="13"/>
            </w:pPr>
          </w:p>
        </w:tc>
        <w:tc>
          <w:tcPr>
            <w:tcW w:w="1600" w:type="dxa"/>
            <w:vAlign w:val="top"/>
          </w:tcPr>
          <w:p w14:paraId="5A4B329F">
            <w:pPr>
              <w:pStyle w:val="13"/>
            </w:pPr>
          </w:p>
        </w:tc>
        <w:tc>
          <w:tcPr>
            <w:tcW w:w="1198" w:type="dxa"/>
            <w:vAlign w:val="top"/>
          </w:tcPr>
          <w:p w14:paraId="6A2B105F">
            <w:pPr>
              <w:pStyle w:val="13"/>
            </w:pPr>
          </w:p>
        </w:tc>
        <w:tc>
          <w:tcPr>
            <w:tcW w:w="791" w:type="dxa"/>
            <w:vAlign w:val="top"/>
          </w:tcPr>
          <w:p w14:paraId="0B27AC2A">
            <w:pPr>
              <w:pStyle w:val="13"/>
            </w:pPr>
          </w:p>
        </w:tc>
        <w:tc>
          <w:tcPr>
            <w:tcW w:w="1840" w:type="dxa"/>
            <w:vAlign w:val="top"/>
          </w:tcPr>
          <w:p w14:paraId="26DBDD29">
            <w:pPr>
              <w:pStyle w:val="13"/>
            </w:pPr>
          </w:p>
        </w:tc>
        <w:tc>
          <w:tcPr>
            <w:tcW w:w="1072" w:type="dxa"/>
            <w:vAlign w:val="top"/>
          </w:tcPr>
          <w:p w14:paraId="6EBDACC8">
            <w:pPr>
              <w:pStyle w:val="13"/>
            </w:pPr>
          </w:p>
        </w:tc>
        <w:tc>
          <w:tcPr>
            <w:tcW w:w="1703" w:type="dxa"/>
            <w:vAlign w:val="top"/>
          </w:tcPr>
          <w:p w14:paraId="17872B7B">
            <w:pPr>
              <w:pStyle w:val="13"/>
            </w:pPr>
          </w:p>
        </w:tc>
        <w:tc>
          <w:tcPr>
            <w:tcW w:w="1405" w:type="dxa"/>
            <w:vAlign w:val="top"/>
          </w:tcPr>
          <w:p w14:paraId="31F7C314">
            <w:pPr>
              <w:pStyle w:val="13"/>
            </w:pPr>
          </w:p>
        </w:tc>
      </w:tr>
      <w:tr w14:paraId="699D6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562950B5">
            <w:pPr>
              <w:pStyle w:val="13"/>
            </w:pPr>
          </w:p>
        </w:tc>
        <w:tc>
          <w:tcPr>
            <w:tcW w:w="1600" w:type="dxa"/>
            <w:vAlign w:val="top"/>
          </w:tcPr>
          <w:p w14:paraId="0BE5A93D">
            <w:pPr>
              <w:pStyle w:val="13"/>
            </w:pPr>
          </w:p>
        </w:tc>
        <w:tc>
          <w:tcPr>
            <w:tcW w:w="1198" w:type="dxa"/>
            <w:vAlign w:val="top"/>
          </w:tcPr>
          <w:p w14:paraId="38EE496C">
            <w:pPr>
              <w:pStyle w:val="13"/>
            </w:pPr>
          </w:p>
        </w:tc>
        <w:tc>
          <w:tcPr>
            <w:tcW w:w="791" w:type="dxa"/>
            <w:vAlign w:val="top"/>
          </w:tcPr>
          <w:p w14:paraId="48DC60A1">
            <w:pPr>
              <w:pStyle w:val="13"/>
            </w:pPr>
          </w:p>
        </w:tc>
        <w:tc>
          <w:tcPr>
            <w:tcW w:w="1840" w:type="dxa"/>
            <w:vAlign w:val="top"/>
          </w:tcPr>
          <w:p w14:paraId="40793B9A">
            <w:pPr>
              <w:pStyle w:val="13"/>
            </w:pPr>
          </w:p>
        </w:tc>
        <w:tc>
          <w:tcPr>
            <w:tcW w:w="1072" w:type="dxa"/>
            <w:vAlign w:val="top"/>
          </w:tcPr>
          <w:p w14:paraId="423058F9">
            <w:pPr>
              <w:pStyle w:val="13"/>
            </w:pPr>
          </w:p>
        </w:tc>
        <w:tc>
          <w:tcPr>
            <w:tcW w:w="1703" w:type="dxa"/>
            <w:vAlign w:val="top"/>
          </w:tcPr>
          <w:p w14:paraId="25AA65B7">
            <w:pPr>
              <w:pStyle w:val="13"/>
            </w:pPr>
          </w:p>
        </w:tc>
        <w:tc>
          <w:tcPr>
            <w:tcW w:w="1405" w:type="dxa"/>
            <w:vAlign w:val="top"/>
          </w:tcPr>
          <w:p w14:paraId="561B7320">
            <w:pPr>
              <w:pStyle w:val="13"/>
            </w:pPr>
          </w:p>
        </w:tc>
      </w:tr>
      <w:tr w14:paraId="63017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3A1C27E6">
            <w:pPr>
              <w:pStyle w:val="13"/>
            </w:pPr>
          </w:p>
        </w:tc>
        <w:tc>
          <w:tcPr>
            <w:tcW w:w="1600" w:type="dxa"/>
            <w:vAlign w:val="top"/>
          </w:tcPr>
          <w:p w14:paraId="7F75F416">
            <w:pPr>
              <w:pStyle w:val="13"/>
            </w:pPr>
          </w:p>
        </w:tc>
        <w:tc>
          <w:tcPr>
            <w:tcW w:w="1198" w:type="dxa"/>
            <w:vAlign w:val="top"/>
          </w:tcPr>
          <w:p w14:paraId="5A747CEB">
            <w:pPr>
              <w:pStyle w:val="13"/>
            </w:pPr>
          </w:p>
        </w:tc>
        <w:tc>
          <w:tcPr>
            <w:tcW w:w="791" w:type="dxa"/>
            <w:vAlign w:val="top"/>
          </w:tcPr>
          <w:p w14:paraId="624BEB16">
            <w:pPr>
              <w:pStyle w:val="13"/>
            </w:pPr>
          </w:p>
        </w:tc>
        <w:tc>
          <w:tcPr>
            <w:tcW w:w="1840" w:type="dxa"/>
            <w:vAlign w:val="top"/>
          </w:tcPr>
          <w:p w14:paraId="0F33E579">
            <w:pPr>
              <w:pStyle w:val="13"/>
            </w:pPr>
          </w:p>
        </w:tc>
        <w:tc>
          <w:tcPr>
            <w:tcW w:w="1072" w:type="dxa"/>
            <w:vAlign w:val="top"/>
          </w:tcPr>
          <w:p w14:paraId="1B421829">
            <w:pPr>
              <w:pStyle w:val="13"/>
            </w:pPr>
          </w:p>
        </w:tc>
        <w:tc>
          <w:tcPr>
            <w:tcW w:w="1703" w:type="dxa"/>
            <w:vAlign w:val="top"/>
          </w:tcPr>
          <w:p w14:paraId="49213CF8">
            <w:pPr>
              <w:pStyle w:val="13"/>
            </w:pPr>
          </w:p>
        </w:tc>
        <w:tc>
          <w:tcPr>
            <w:tcW w:w="1405" w:type="dxa"/>
            <w:vAlign w:val="top"/>
          </w:tcPr>
          <w:p w14:paraId="2ED0EFC3">
            <w:pPr>
              <w:pStyle w:val="13"/>
            </w:pPr>
          </w:p>
        </w:tc>
      </w:tr>
      <w:tr w14:paraId="1A0D2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5C4B5AF5">
            <w:pPr>
              <w:pStyle w:val="13"/>
            </w:pPr>
          </w:p>
        </w:tc>
        <w:tc>
          <w:tcPr>
            <w:tcW w:w="1600" w:type="dxa"/>
            <w:vAlign w:val="top"/>
          </w:tcPr>
          <w:p w14:paraId="02E304E9">
            <w:pPr>
              <w:pStyle w:val="13"/>
            </w:pPr>
          </w:p>
        </w:tc>
        <w:tc>
          <w:tcPr>
            <w:tcW w:w="1198" w:type="dxa"/>
            <w:vAlign w:val="top"/>
          </w:tcPr>
          <w:p w14:paraId="42DC6B71">
            <w:pPr>
              <w:pStyle w:val="13"/>
            </w:pPr>
          </w:p>
        </w:tc>
        <w:tc>
          <w:tcPr>
            <w:tcW w:w="791" w:type="dxa"/>
            <w:vAlign w:val="top"/>
          </w:tcPr>
          <w:p w14:paraId="73A68C1D">
            <w:pPr>
              <w:pStyle w:val="13"/>
            </w:pPr>
          </w:p>
        </w:tc>
        <w:tc>
          <w:tcPr>
            <w:tcW w:w="1840" w:type="dxa"/>
            <w:vAlign w:val="top"/>
          </w:tcPr>
          <w:p w14:paraId="7D3E338E">
            <w:pPr>
              <w:pStyle w:val="13"/>
            </w:pPr>
          </w:p>
        </w:tc>
        <w:tc>
          <w:tcPr>
            <w:tcW w:w="1072" w:type="dxa"/>
            <w:vAlign w:val="top"/>
          </w:tcPr>
          <w:p w14:paraId="1D8EA6A7">
            <w:pPr>
              <w:pStyle w:val="13"/>
            </w:pPr>
          </w:p>
        </w:tc>
        <w:tc>
          <w:tcPr>
            <w:tcW w:w="1703" w:type="dxa"/>
            <w:vAlign w:val="top"/>
          </w:tcPr>
          <w:p w14:paraId="6767BB42">
            <w:pPr>
              <w:pStyle w:val="13"/>
            </w:pPr>
          </w:p>
        </w:tc>
        <w:tc>
          <w:tcPr>
            <w:tcW w:w="1405" w:type="dxa"/>
            <w:vAlign w:val="top"/>
          </w:tcPr>
          <w:p w14:paraId="549469A6">
            <w:pPr>
              <w:pStyle w:val="13"/>
            </w:pPr>
          </w:p>
        </w:tc>
      </w:tr>
      <w:tr w14:paraId="654FE6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4" w:type="dxa"/>
            <w:vAlign w:val="top"/>
          </w:tcPr>
          <w:p w14:paraId="7ADF2E85">
            <w:pPr>
              <w:pStyle w:val="13"/>
            </w:pPr>
          </w:p>
        </w:tc>
        <w:tc>
          <w:tcPr>
            <w:tcW w:w="1600" w:type="dxa"/>
            <w:vAlign w:val="top"/>
          </w:tcPr>
          <w:p w14:paraId="714DA568">
            <w:pPr>
              <w:pStyle w:val="13"/>
            </w:pPr>
          </w:p>
        </w:tc>
        <w:tc>
          <w:tcPr>
            <w:tcW w:w="1198" w:type="dxa"/>
            <w:vAlign w:val="top"/>
          </w:tcPr>
          <w:p w14:paraId="782FAE45">
            <w:pPr>
              <w:pStyle w:val="13"/>
            </w:pPr>
          </w:p>
        </w:tc>
        <w:tc>
          <w:tcPr>
            <w:tcW w:w="791" w:type="dxa"/>
            <w:vAlign w:val="top"/>
          </w:tcPr>
          <w:p w14:paraId="29D0833C">
            <w:pPr>
              <w:pStyle w:val="13"/>
            </w:pPr>
          </w:p>
        </w:tc>
        <w:tc>
          <w:tcPr>
            <w:tcW w:w="1840" w:type="dxa"/>
            <w:vAlign w:val="top"/>
          </w:tcPr>
          <w:p w14:paraId="00B3AEAE">
            <w:pPr>
              <w:pStyle w:val="13"/>
            </w:pPr>
          </w:p>
        </w:tc>
        <w:tc>
          <w:tcPr>
            <w:tcW w:w="1072" w:type="dxa"/>
            <w:vAlign w:val="top"/>
          </w:tcPr>
          <w:p w14:paraId="16B3EE7E">
            <w:pPr>
              <w:pStyle w:val="13"/>
            </w:pPr>
          </w:p>
        </w:tc>
        <w:tc>
          <w:tcPr>
            <w:tcW w:w="1703" w:type="dxa"/>
            <w:vAlign w:val="top"/>
          </w:tcPr>
          <w:p w14:paraId="69374CEA">
            <w:pPr>
              <w:pStyle w:val="13"/>
            </w:pPr>
          </w:p>
        </w:tc>
        <w:tc>
          <w:tcPr>
            <w:tcW w:w="1405" w:type="dxa"/>
            <w:vAlign w:val="top"/>
          </w:tcPr>
          <w:p w14:paraId="6335EF55">
            <w:pPr>
              <w:pStyle w:val="13"/>
            </w:pPr>
          </w:p>
        </w:tc>
      </w:tr>
      <w:tr w14:paraId="15814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34" w:type="dxa"/>
            <w:vAlign w:val="top"/>
          </w:tcPr>
          <w:p w14:paraId="74496532">
            <w:pPr>
              <w:pStyle w:val="13"/>
            </w:pPr>
          </w:p>
        </w:tc>
        <w:tc>
          <w:tcPr>
            <w:tcW w:w="1600" w:type="dxa"/>
            <w:vAlign w:val="top"/>
          </w:tcPr>
          <w:p w14:paraId="6B60807F">
            <w:pPr>
              <w:pStyle w:val="13"/>
            </w:pPr>
          </w:p>
        </w:tc>
        <w:tc>
          <w:tcPr>
            <w:tcW w:w="1198" w:type="dxa"/>
            <w:vAlign w:val="top"/>
          </w:tcPr>
          <w:p w14:paraId="6A3CF84D">
            <w:pPr>
              <w:pStyle w:val="13"/>
            </w:pPr>
          </w:p>
        </w:tc>
        <w:tc>
          <w:tcPr>
            <w:tcW w:w="791" w:type="dxa"/>
            <w:vAlign w:val="top"/>
          </w:tcPr>
          <w:p w14:paraId="00EA3315">
            <w:pPr>
              <w:pStyle w:val="13"/>
            </w:pPr>
          </w:p>
        </w:tc>
        <w:tc>
          <w:tcPr>
            <w:tcW w:w="1840" w:type="dxa"/>
            <w:vAlign w:val="top"/>
          </w:tcPr>
          <w:p w14:paraId="7B3F7C9A">
            <w:pPr>
              <w:pStyle w:val="13"/>
            </w:pPr>
          </w:p>
        </w:tc>
        <w:tc>
          <w:tcPr>
            <w:tcW w:w="1072" w:type="dxa"/>
            <w:vAlign w:val="top"/>
          </w:tcPr>
          <w:p w14:paraId="7E1030BE">
            <w:pPr>
              <w:pStyle w:val="13"/>
            </w:pPr>
          </w:p>
        </w:tc>
        <w:tc>
          <w:tcPr>
            <w:tcW w:w="1703" w:type="dxa"/>
            <w:vAlign w:val="top"/>
          </w:tcPr>
          <w:p w14:paraId="1040C67E">
            <w:pPr>
              <w:pStyle w:val="13"/>
            </w:pPr>
          </w:p>
        </w:tc>
        <w:tc>
          <w:tcPr>
            <w:tcW w:w="1405" w:type="dxa"/>
            <w:vAlign w:val="top"/>
          </w:tcPr>
          <w:p w14:paraId="6866D09D">
            <w:pPr>
              <w:pStyle w:val="13"/>
            </w:pPr>
          </w:p>
        </w:tc>
      </w:tr>
    </w:tbl>
    <w:p w14:paraId="2A1612FD">
      <w:pPr>
        <w:pStyle w:val="3"/>
        <w:spacing w:before="117" w:line="307" w:lineRule="auto"/>
        <w:ind w:left="465" w:right="434" w:firstLine="26"/>
        <w:rPr>
          <w:sz w:val="24"/>
          <w:szCs w:val="24"/>
        </w:rPr>
      </w:pPr>
      <w:r>
        <w:rPr>
          <w:spacing w:val="5"/>
          <w:sz w:val="24"/>
          <w:szCs w:val="24"/>
        </w:rPr>
        <w:t>注：1.“</w:t>
      </w:r>
      <w:r>
        <w:rPr>
          <w:spacing w:val="-5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申请转专业理由</w:t>
      </w:r>
      <w:r>
        <w:rPr>
          <w:spacing w:val="-7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”栏按本办法第五条规定可以提出转专业申请的情况分类填写</w:t>
      </w:r>
      <w:r>
        <w:rPr>
          <w:spacing w:val="8"/>
          <w:sz w:val="24"/>
          <w:szCs w:val="24"/>
        </w:rPr>
        <w:t>“（一）、（二）</w:t>
      </w:r>
      <w:r>
        <w:rPr>
          <w:spacing w:val="-8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……</w:t>
      </w:r>
      <w:r>
        <w:rPr>
          <w:spacing w:val="-86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”</w:t>
      </w:r>
    </w:p>
    <w:p w14:paraId="48B63750">
      <w:pPr>
        <w:pStyle w:val="3"/>
        <w:spacing w:line="220" w:lineRule="auto"/>
        <w:ind w:left="968"/>
        <w:rPr>
          <w:sz w:val="24"/>
          <w:szCs w:val="24"/>
        </w:rPr>
      </w:pPr>
      <w:r>
        <w:rPr>
          <w:spacing w:val="3"/>
          <w:sz w:val="24"/>
          <w:szCs w:val="24"/>
        </w:rPr>
        <w:t>2.此表纸质版、电子版及相关证明材料交至教务处学</w:t>
      </w:r>
      <w:r>
        <w:rPr>
          <w:spacing w:val="2"/>
          <w:sz w:val="24"/>
          <w:szCs w:val="24"/>
        </w:rPr>
        <w:t>籍科。</w:t>
      </w:r>
    </w:p>
    <w:p w14:paraId="081D7CEF">
      <w:pPr>
        <w:spacing w:line="255" w:lineRule="auto"/>
        <w:rPr>
          <w:rFonts w:ascii="Arial"/>
          <w:sz w:val="21"/>
        </w:rPr>
      </w:pPr>
    </w:p>
    <w:p w14:paraId="63AF8055">
      <w:pPr>
        <w:spacing w:line="256" w:lineRule="auto"/>
        <w:rPr>
          <w:rFonts w:ascii="Arial"/>
          <w:sz w:val="21"/>
        </w:rPr>
      </w:pPr>
    </w:p>
    <w:p w14:paraId="40431AA7">
      <w:pPr>
        <w:pStyle w:val="3"/>
        <w:spacing w:before="91" w:line="219" w:lineRule="auto"/>
        <w:ind w:left="480"/>
        <w:rPr>
          <w:sz w:val="28"/>
          <w:szCs w:val="28"/>
        </w:rPr>
      </w:pPr>
      <w:r>
        <w:rPr>
          <w:spacing w:val="-1"/>
          <w:sz w:val="28"/>
          <w:szCs w:val="28"/>
        </w:rPr>
        <w:t>填表人：</w:t>
      </w:r>
    </w:p>
    <w:p w14:paraId="2CA24672">
      <w:pPr>
        <w:pStyle w:val="3"/>
        <w:spacing w:before="281" w:line="218" w:lineRule="auto"/>
        <w:ind w:left="8200"/>
        <w:rPr>
          <w:sz w:val="28"/>
          <w:szCs w:val="28"/>
        </w:rPr>
      </w:pPr>
      <w:r>
        <w:rPr>
          <w:spacing w:val="-13"/>
          <w:sz w:val="28"/>
          <w:szCs w:val="28"/>
        </w:rPr>
        <w:t>年</w:t>
      </w:r>
      <w:r>
        <w:rPr>
          <w:spacing w:val="11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月</w:t>
      </w:r>
      <w:r>
        <w:rPr>
          <w:spacing w:val="25"/>
          <w:sz w:val="28"/>
          <w:szCs w:val="28"/>
        </w:rPr>
        <w:t xml:space="preserve">   </w:t>
      </w:r>
      <w:r>
        <w:rPr>
          <w:spacing w:val="-13"/>
          <w:sz w:val="28"/>
          <w:szCs w:val="28"/>
        </w:rPr>
        <w:t>日</w:t>
      </w:r>
    </w:p>
    <w:p w14:paraId="3CB16544">
      <w:pPr>
        <w:spacing w:line="218" w:lineRule="auto"/>
        <w:rPr>
          <w:sz w:val="28"/>
          <w:szCs w:val="28"/>
        </w:rPr>
        <w:sectPr>
          <w:footerReference r:id="rId5" w:type="default"/>
          <w:pgSz w:w="11906" w:h="16839"/>
          <w:pgMar w:top="1431" w:right="779" w:bottom="1156" w:left="778" w:header="0" w:footer="994" w:gutter="0"/>
          <w:cols w:space="720" w:num="1"/>
        </w:sectPr>
      </w:pPr>
    </w:p>
    <w:p w14:paraId="5DC7F82A">
      <w:pPr>
        <w:spacing w:line="259" w:lineRule="auto"/>
        <w:rPr>
          <w:rFonts w:ascii="Arial"/>
          <w:sz w:val="21"/>
        </w:rPr>
      </w:pPr>
    </w:p>
    <w:p w14:paraId="32910DF7">
      <w:pPr>
        <w:pStyle w:val="3"/>
        <w:spacing w:before="101" w:line="229" w:lineRule="auto"/>
        <w:ind w:left="23"/>
      </w:pPr>
      <w:r>
        <w:rPr>
          <w:spacing w:val="-3"/>
        </w:rPr>
        <w:t>附表3：</w:t>
      </w:r>
    </w:p>
    <w:p w14:paraId="609AD2BF">
      <w:pPr>
        <w:spacing w:before="122" w:line="195" w:lineRule="auto"/>
        <w:ind w:left="3235"/>
        <w:rPr>
          <w:rFonts w:ascii="华文中宋" w:hAnsi="华文中宋" w:eastAsia="华文中宋" w:cs="华文中宋"/>
          <w:sz w:val="43"/>
          <w:szCs w:val="43"/>
        </w:rPr>
      </w:pPr>
      <w:r>
        <w:rPr>
          <w:rFonts w:ascii="华文中宋" w:hAnsi="华文中宋" w:eastAsia="华文中宋" w:cs="华文中宋"/>
          <w:b/>
          <w:bCs/>
          <w:spacing w:val="6"/>
          <w:sz w:val="43"/>
          <w:szCs w:val="43"/>
        </w:rPr>
        <w:t>湖南女子学院专业调整拟转入学生名单</w:t>
      </w:r>
    </w:p>
    <w:p w14:paraId="3C2F6F74">
      <w:pPr>
        <w:pStyle w:val="3"/>
        <w:spacing w:before="263" w:line="224" w:lineRule="auto"/>
        <w:ind w:left="13"/>
      </w:pPr>
      <w:r>
        <w:rPr>
          <w:spacing w:val="7"/>
        </w:rPr>
        <w:t>转入学院（公章</w:t>
      </w:r>
      <w:r>
        <w:rPr>
          <w:spacing w:val="1"/>
        </w:rPr>
        <w:t>）：</w:t>
      </w:r>
    </w:p>
    <w:p w14:paraId="7318464E">
      <w:pPr>
        <w:spacing w:line="93" w:lineRule="exact"/>
      </w:pPr>
    </w:p>
    <w:tbl>
      <w:tblPr>
        <w:tblStyle w:val="12"/>
        <w:tblW w:w="13340" w:type="dxa"/>
        <w:tblInd w:w="29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7"/>
        <w:gridCol w:w="1436"/>
        <w:gridCol w:w="1050"/>
        <w:gridCol w:w="825"/>
        <w:gridCol w:w="1737"/>
        <w:gridCol w:w="1011"/>
        <w:gridCol w:w="1575"/>
        <w:gridCol w:w="2099"/>
        <w:gridCol w:w="1376"/>
        <w:gridCol w:w="1644"/>
      </w:tblGrid>
      <w:tr w14:paraId="334EDC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7" w:type="dxa"/>
            <w:vAlign w:val="top"/>
          </w:tcPr>
          <w:p w14:paraId="451DA03B">
            <w:pPr>
              <w:spacing w:before="52" w:line="217" w:lineRule="auto"/>
              <w:ind w:left="1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序</w:t>
            </w:r>
          </w:p>
          <w:p w14:paraId="3AF1AF86">
            <w:pPr>
              <w:spacing w:before="18" w:line="208" w:lineRule="auto"/>
              <w:ind w:left="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号</w:t>
            </w:r>
          </w:p>
        </w:tc>
        <w:tc>
          <w:tcPr>
            <w:tcW w:w="1436" w:type="dxa"/>
            <w:vAlign w:val="top"/>
          </w:tcPr>
          <w:p w14:paraId="6B226795">
            <w:pPr>
              <w:spacing w:before="203" w:line="218" w:lineRule="auto"/>
              <w:ind w:left="4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4"/>
                <w:sz w:val="24"/>
                <w:szCs w:val="24"/>
              </w:rPr>
              <w:t>学号</w:t>
            </w:r>
          </w:p>
        </w:tc>
        <w:tc>
          <w:tcPr>
            <w:tcW w:w="1050" w:type="dxa"/>
            <w:vAlign w:val="top"/>
          </w:tcPr>
          <w:p w14:paraId="16E2D4BF">
            <w:pPr>
              <w:spacing w:before="203" w:line="219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825" w:type="dxa"/>
            <w:vAlign w:val="top"/>
          </w:tcPr>
          <w:p w14:paraId="4847F336">
            <w:pPr>
              <w:spacing w:before="51" w:line="214" w:lineRule="auto"/>
              <w:ind w:left="1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转出</w:t>
            </w:r>
          </w:p>
          <w:p w14:paraId="70688B35">
            <w:pPr>
              <w:spacing w:before="23" w:line="208" w:lineRule="auto"/>
              <w:ind w:left="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年级</w:t>
            </w:r>
          </w:p>
        </w:tc>
        <w:tc>
          <w:tcPr>
            <w:tcW w:w="1737" w:type="dxa"/>
            <w:vAlign w:val="top"/>
          </w:tcPr>
          <w:p w14:paraId="623B3C1C">
            <w:pPr>
              <w:spacing w:before="202" w:line="214" w:lineRule="auto"/>
              <w:ind w:left="4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转出专业</w:t>
            </w:r>
          </w:p>
        </w:tc>
        <w:tc>
          <w:tcPr>
            <w:tcW w:w="1011" w:type="dxa"/>
            <w:vAlign w:val="top"/>
          </w:tcPr>
          <w:p w14:paraId="1064DE78">
            <w:pPr>
              <w:spacing w:before="50" w:line="220" w:lineRule="auto"/>
              <w:ind w:left="271" w:right="143" w:hanging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拟转入</w:t>
            </w: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年级</w:t>
            </w:r>
          </w:p>
        </w:tc>
        <w:tc>
          <w:tcPr>
            <w:tcW w:w="1575" w:type="dxa"/>
            <w:vAlign w:val="top"/>
          </w:tcPr>
          <w:p w14:paraId="7FE6FCCE">
            <w:pPr>
              <w:spacing w:before="202" w:line="214" w:lineRule="auto"/>
              <w:ind w:left="1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拟转入专业</w:t>
            </w:r>
          </w:p>
        </w:tc>
        <w:tc>
          <w:tcPr>
            <w:tcW w:w="2099" w:type="dxa"/>
            <w:vAlign w:val="top"/>
          </w:tcPr>
          <w:p w14:paraId="17AC0744">
            <w:pPr>
              <w:spacing w:before="203" w:line="218" w:lineRule="auto"/>
              <w:ind w:left="4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拟编入班级</w:t>
            </w:r>
          </w:p>
        </w:tc>
        <w:tc>
          <w:tcPr>
            <w:tcW w:w="1376" w:type="dxa"/>
            <w:vAlign w:val="top"/>
          </w:tcPr>
          <w:p w14:paraId="6A0E37D3">
            <w:pPr>
              <w:spacing w:before="50" w:line="220" w:lineRule="auto"/>
              <w:ind w:left="459" w:right="201" w:hanging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综合评定</w:t>
            </w: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成绩</w:t>
            </w:r>
          </w:p>
        </w:tc>
        <w:tc>
          <w:tcPr>
            <w:tcW w:w="1644" w:type="dxa"/>
            <w:vAlign w:val="top"/>
          </w:tcPr>
          <w:p w14:paraId="42573360">
            <w:pPr>
              <w:spacing w:before="51" w:line="214" w:lineRule="auto"/>
              <w:ind w:left="22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符合转专业</w:t>
            </w:r>
          </w:p>
          <w:p w14:paraId="11D22FDA">
            <w:pPr>
              <w:spacing w:before="23" w:line="208" w:lineRule="auto"/>
              <w:ind w:left="2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的基本条件</w:t>
            </w:r>
          </w:p>
        </w:tc>
      </w:tr>
      <w:tr w14:paraId="26AAD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587" w:type="dxa"/>
            <w:vAlign w:val="top"/>
          </w:tcPr>
          <w:p w14:paraId="6D7A823C">
            <w:pPr>
              <w:pStyle w:val="13"/>
            </w:pPr>
          </w:p>
        </w:tc>
        <w:tc>
          <w:tcPr>
            <w:tcW w:w="1436" w:type="dxa"/>
            <w:vAlign w:val="top"/>
          </w:tcPr>
          <w:p w14:paraId="424A3051">
            <w:pPr>
              <w:pStyle w:val="13"/>
            </w:pPr>
          </w:p>
        </w:tc>
        <w:tc>
          <w:tcPr>
            <w:tcW w:w="1050" w:type="dxa"/>
            <w:vAlign w:val="top"/>
          </w:tcPr>
          <w:p w14:paraId="5AE148CE">
            <w:pPr>
              <w:pStyle w:val="13"/>
            </w:pPr>
          </w:p>
        </w:tc>
        <w:tc>
          <w:tcPr>
            <w:tcW w:w="825" w:type="dxa"/>
            <w:vAlign w:val="top"/>
          </w:tcPr>
          <w:p w14:paraId="58516720">
            <w:pPr>
              <w:pStyle w:val="13"/>
            </w:pPr>
          </w:p>
        </w:tc>
        <w:tc>
          <w:tcPr>
            <w:tcW w:w="1737" w:type="dxa"/>
            <w:vAlign w:val="top"/>
          </w:tcPr>
          <w:p w14:paraId="0964BE0F">
            <w:pPr>
              <w:pStyle w:val="13"/>
            </w:pPr>
          </w:p>
        </w:tc>
        <w:tc>
          <w:tcPr>
            <w:tcW w:w="1011" w:type="dxa"/>
            <w:vAlign w:val="top"/>
          </w:tcPr>
          <w:p w14:paraId="050209A9">
            <w:pPr>
              <w:pStyle w:val="13"/>
            </w:pPr>
          </w:p>
        </w:tc>
        <w:tc>
          <w:tcPr>
            <w:tcW w:w="1575" w:type="dxa"/>
            <w:vAlign w:val="top"/>
          </w:tcPr>
          <w:p w14:paraId="4C4CC4C4">
            <w:pPr>
              <w:pStyle w:val="13"/>
            </w:pPr>
          </w:p>
        </w:tc>
        <w:tc>
          <w:tcPr>
            <w:tcW w:w="2099" w:type="dxa"/>
            <w:vAlign w:val="top"/>
          </w:tcPr>
          <w:p w14:paraId="4387F4D6">
            <w:pPr>
              <w:pStyle w:val="13"/>
            </w:pPr>
          </w:p>
        </w:tc>
        <w:tc>
          <w:tcPr>
            <w:tcW w:w="1376" w:type="dxa"/>
            <w:vAlign w:val="top"/>
          </w:tcPr>
          <w:p w14:paraId="11C759B3">
            <w:pPr>
              <w:pStyle w:val="13"/>
            </w:pPr>
          </w:p>
        </w:tc>
        <w:tc>
          <w:tcPr>
            <w:tcW w:w="1644" w:type="dxa"/>
            <w:vAlign w:val="top"/>
          </w:tcPr>
          <w:p w14:paraId="00FC78FF">
            <w:pPr>
              <w:pStyle w:val="13"/>
            </w:pPr>
          </w:p>
        </w:tc>
      </w:tr>
      <w:tr w14:paraId="58F9DE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587" w:type="dxa"/>
            <w:vAlign w:val="top"/>
          </w:tcPr>
          <w:p w14:paraId="09B90A5E">
            <w:pPr>
              <w:pStyle w:val="13"/>
            </w:pPr>
          </w:p>
        </w:tc>
        <w:tc>
          <w:tcPr>
            <w:tcW w:w="1436" w:type="dxa"/>
            <w:vAlign w:val="top"/>
          </w:tcPr>
          <w:p w14:paraId="62D8BE11">
            <w:pPr>
              <w:pStyle w:val="13"/>
            </w:pPr>
          </w:p>
        </w:tc>
        <w:tc>
          <w:tcPr>
            <w:tcW w:w="1050" w:type="dxa"/>
            <w:vAlign w:val="top"/>
          </w:tcPr>
          <w:p w14:paraId="21B9310E">
            <w:pPr>
              <w:pStyle w:val="13"/>
            </w:pPr>
          </w:p>
        </w:tc>
        <w:tc>
          <w:tcPr>
            <w:tcW w:w="825" w:type="dxa"/>
            <w:vAlign w:val="top"/>
          </w:tcPr>
          <w:p w14:paraId="2B94E3B9">
            <w:pPr>
              <w:pStyle w:val="13"/>
            </w:pPr>
          </w:p>
        </w:tc>
        <w:tc>
          <w:tcPr>
            <w:tcW w:w="1737" w:type="dxa"/>
            <w:vAlign w:val="top"/>
          </w:tcPr>
          <w:p w14:paraId="25553333">
            <w:pPr>
              <w:pStyle w:val="13"/>
            </w:pPr>
          </w:p>
        </w:tc>
        <w:tc>
          <w:tcPr>
            <w:tcW w:w="1011" w:type="dxa"/>
            <w:vAlign w:val="top"/>
          </w:tcPr>
          <w:p w14:paraId="09FFFB3D">
            <w:pPr>
              <w:pStyle w:val="13"/>
            </w:pPr>
          </w:p>
        </w:tc>
        <w:tc>
          <w:tcPr>
            <w:tcW w:w="1575" w:type="dxa"/>
            <w:vAlign w:val="top"/>
          </w:tcPr>
          <w:p w14:paraId="0C866A17">
            <w:pPr>
              <w:pStyle w:val="13"/>
            </w:pPr>
          </w:p>
        </w:tc>
        <w:tc>
          <w:tcPr>
            <w:tcW w:w="2099" w:type="dxa"/>
            <w:vAlign w:val="top"/>
          </w:tcPr>
          <w:p w14:paraId="0AD5505B">
            <w:pPr>
              <w:pStyle w:val="13"/>
            </w:pPr>
          </w:p>
        </w:tc>
        <w:tc>
          <w:tcPr>
            <w:tcW w:w="1376" w:type="dxa"/>
            <w:vAlign w:val="top"/>
          </w:tcPr>
          <w:p w14:paraId="2F790CFF">
            <w:pPr>
              <w:pStyle w:val="13"/>
            </w:pPr>
          </w:p>
        </w:tc>
        <w:tc>
          <w:tcPr>
            <w:tcW w:w="1644" w:type="dxa"/>
            <w:vAlign w:val="top"/>
          </w:tcPr>
          <w:p w14:paraId="35D11AE7">
            <w:pPr>
              <w:pStyle w:val="13"/>
            </w:pPr>
          </w:p>
        </w:tc>
      </w:tr>
      <w:tr w14:paraId="74201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587" w:type="dxa"/>
            <w:vAlign w:val="top"/>
          </w:tcPr>
          <w:p w14:paraId="19BAE902">
            <w:pPr>
              <w:pStyle w:val="13"/>
            </w:pPr>
          </w:p>
        </w:tc>
        <w:tc>
          <w:tcPr>
            <w:tcW w:w="1436" w:type="dxa"/>
            <w:vAlign w:val="top"/>
          </w:tcPr>
          <w:p w14:paraId="3A988CCA">
            <w:pPr>
              <w:pStyle w:val="13"/>
            </w:pPr>
          </w:p>
        </w:tc>
        <w:tc>
          <w:tcPr>
            <w:tcW w:w="1050" w:type="dxa"/>
            <w:vAlign w:val="top"/>
          </w:tcPr>
          <w:p w14:paraId="2D841F64">
            <w:pPr>
              <w:pStyle w:val="13"/>
            </w:pPr>
          </w:p>
        </w:tc>
        <w:tc>
          <w:tcPr>
            <w:tcW w:w="825" w:type="dxa"/>
            <w:vAlign w:val="top"/>
          </w:tcPr>
          <w:p w14:paraId="52752660">
            <w:pPr>
              <w:pStyle w:val="13"/>
            </w:pPr>
          </w:p>
        </w:tc>
        <w:tc>
          <w:tcPr>
            <w:tcW w:w="1737" w:type="dxa"/>
            <w:vAlign w:val="top"/>
          </w:tcPr>
          <w:p w14:paraId="08FFF269">
            <w:pPr>
              <w:pStyle w:val="13"/>
            </w:pPr>
          </w:p>
        </w:tc>
        <w:tc>
          <w:tcPr>
            <w:tcW w:w="1011" w:type="dxa"/>
            <w:vAlign w:val="top"/>
          </w:tcPr>
          <w:p w14:paraId="5BB9C3A6">
            <w:pPr>
              <w:pStyle w:val="13"/>
            </w:pPr>
          </w:p>
        </w:tc>
        <w:tc>
          <w:tcPr>
            <w:tcW w:w="1575" w:type="dxa"/>
            <w:vAlign w:val="top"/>
          </w:tcPr>
          <w:p w14:paraId="21159A75">
            <w:pPr>
              <w:pStyle w:val="13"/>
            </w:pPr>
          </w:p>
        </w:tc>
        <w:tc>
          <w:tcPr>
            <w:tcW w:w="2099" w:type="dxa"/>
            <w:vAlign w:val="top"/>
          </w:tcPr>
          <w:p w14:paraId="35D770FC">
            <w:pPr>
              <w:pStyle w:val="13"/>
            </w:pPr>
          </w:p>
        </w:tc>
        <w:tc>
          <w:tcPr>
            <w:tcW w:w="1376" w:type="dxa"/>
            <w:vAlign w:val="top"/>
          </w:tcPr>
          <w:p w14:paraId="51058E0C">
            <w:pPr>
              <w:pStyle w:val="13"/>
            </w:pPr>
          </w:p>
        </w:tc>
        <w:tc>
          <w:tcPr>
            <w:tcW w:w="1644" w:type="dxa"/>
            <w:vAlign w:val="top"/>
          </w:tcPr>
          <w:p w14:paraId="053A09BC">
            <w:pPr>
              <w:pStyle w:val="13"/>
            </w:pPr>
          </w:p>
        </w:tc>
      </w:tr>
      <w:tr w14:paraId="3C0391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87" w:type="dxa"/>
            <w:vAlign w:val="top"/>
          </w:tcPr>
          <w:p w14:paraId="6B8F0B8C">
            <w:pPr>
              <w:pStyle w:val="13"/>
            </w:pPr>
          </w:p>
        </w:tc>
        <w:tc>
          <w:tcPr>
            <w:tcW w:w="1436" w:type="dxa"/>
            <w:vAlign w:val="top"/>
          </w:tcPr>
          <w:p w14:paraId="47B0794E">
            <w:pPr>
              <w:pStyle w:val="13"/>
            </w:pPr>
          </w:p>
        </w:tc>
        <w:tc>
          <w:tcPr>
            <w:tcW w:w="1050" w:type="dxa"/>
            <w:vAlign w:val="top"/>
          </w:tcPr>
          <w:p w14:paraId="244FA109">
            <w:pPr>
              <w:pStyle w:val="13"/>
            </w:pPr>
          </w:p>
        </w:tc>
        <w:tc>
          <w:tcPr>
            <w:tcW w:w="825" w:type="dxa"/>
            <w:vAlign w:val="top"/>
          </w:tcPr>
          <w:p w14:paraId="70942924">
            <w:pPr>
              <w:pStyle w:val="13"/>
            </w:pPr>
          </w:p>
        </w:tc>
        <w:tc>
          <w:tcPr>
            <w:tcW w:w="1737" w:type="dxa"/>
            <w:vAlign w:val="top"/>
          </w:tcPr>
          <w:p w14:paraId="604DBFC3">
            <w:pPr>
              <w:pStyle w:val="13"/>
            </w:pPr>
          </w:p>
        </w:tc>
        <w:tc>
          <w:tcPr>
            <w:tcW w:w="1011" w:type="dxa"/>
            <w:vAlign w:val="top"/>
          </w:tcPr>
          <w:p w14:paraId="0568EA7C">
            <w:pPr>
              <w:pStyle w:val="13"/>
            </w:pPr>
          </w:p>
        </w:tc>
        <w:tc>
          <w:tcPr>
            <w:tcW w:w="1575" w:type="dxa"/>
            <w:vAlign w:val="top"/>
          </w:tcPr>
          <w:p w14:paraId="7630FA67">
            <w:pPr>
              <w:pStyle w:val="13"/>
            </w:pPr>
          </w:p>
        </w:tc>
        <w:tc>
          <w:tcPr>
            <w:tcW w:w="2099" w:type="dxa"/>
            <w:vAlign w:val="top"/>
          </w:tcPr>
          <w:p w14:paraId="2A60F7A9">
            <w:pPr>
              <w:pStyle w:val="13"/>
            </w:pPr>
          </w:p>
        </w:tc>
        <w:tc>
          <w:tcPr>
            <w:tcW w:w="1376" w:type="dxa"/>
            <w:vAlign w:val="top"/>
          </w:tcPr>
          <w:p w14:paraId="7BEC1B32">
            <w:pPr>
              <w:pStyle w:val="13"/>
            </w:pPr>
          </w:p>
        </w:tc>
        <w:tc>
          <w:tcPr>
            <w:tcW w:w="1644" w:type="dxa"/>
            <w:vAlign w:val="top"/>
          </w:tcPr>
          <w:p w14:paraId="20042080">
            <w:pPr>
              <w:pStyle w:val="13"/>
            </w:pPr>
          </w:p>
        </w:tc>
      </w:tr>
      <w:tr w14:paraId="5E245E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587" w:type="dxa"/>
            <w:vAlign w:val="top"/>
          </w:tcPr>
          <w:p w14:paraId="08A5BCCB">
            <w:pPr>
              <w:pStyle w:val="13"/>
            </w:pPr>
          </w:p>
        </w:tc>
        <w:tc>
          <w:tcPr>
            <w:tcW w:w="1436" w:type="dxa"/>
            <w:vAlign w:val="top"/>
          </w:tcPr>
          <w:p w14:paraId="65E12FDC">
            <w:pPr>
              <w:pStyle w:val="13"/>
            </w:pPr>
          </w:p>
        </w:tc>
        <w:tc>
          <w:tcPr>
            <w:tcW w:w="1050" w:type="dxa"/>
            <w:vAlign w:val="top"/>
          </w:tcPr>
          <w:p w14:paraId="3ADD5F13">
            <w:pPr>
              <w:pStyle w:val="13"/>
            </w:pPr>
          </w:p>
        </w:tc>
        <w:tc>
          <w:tcPr>
            <w:tcW w:w="825" w:type="dxa"/>
            <w:vAlign w:val="top"/>
          </w:tcPr>
          <w:p w14:paraId="4E254C55">
            <w:pPr>
              <w:pStyle w:val="13"/>
            </w:pPr>
          </w:p>
        </w:tc>
        <w:tc>
          <w:tcPr>
            <w:tcW w:w="1737" w:type="dxa"/>
            <w:vAlign w:val="top"/>
          </w:tcPr>
          <w:p w14:paraId="0B6C3C86">
            <w:pPr>
              <w:pStyle w:val="13"/>
            </w:pPr>
          </w:p>
        </w:tc>
        <w:tc>
          <w:tcPr>
            <w:tcW w:w="1011" w:type="dxa"/>
            <w:vAlign w:val="top"/>
          </w:tcPr>
          <w:p w14:paraId="70896E0E">
            <w:pPr>
              <w:pStyle w:val="13"/>
            </w:pPr>
          </w:p>
        </w:tc>
        <w:tc>
          <w:tcPr>
            <w:tcW w:w="1575" w:type="dxa"/>
            <w:vAlign w:val="top"/>
          </w:tcPr>
          <w:p w14:paraId="4591D2E1">
            <w:pPr>
              <w:pStyle w:val="13"/>
            </w:pPr>
          </w:p>
        </w:tc>
        <w:tc>
          <w:tcPr>
            <w:tcW w:w="2099" w:type="dxa"/>
            <w:vAlign w:val="top"/>
          </w:tcPr>
          <w:p w14:paraId="5F6DBD9E">
            <w:pPr>
              <w:pStyle w:val="13"/>
            </w:pPr>
          </w:p>
        </w:tc>
        <w:tc>
          <w:tcPr>
            <w:tcW w:w="1376" w:type="dxa"/>
            <w:vAlign w:val="top"/>
          </w:tcPr>
          <w:p w14:paraId="0639614A">
            <w:pPr>
              <w:pStyle w:val="13"/>
            </w:pPr>
          </w:p>
        </w:tc>
        <w:tc>
          <w:tcPr>
            <w:tcW w:w="1644" w:type="dxa"/>
            <w:vAlign w:val="top"/>
          </w:tcPr>
          <w:p w14:paraId="61C55F76">
            <w:pPr>
              <w:pStyle w:val="13"/>
            </w:pPr>
          </w:p>
        </w:tc>
      </w:tr>
      <w:tr w14:paraId="5C0AF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587" w:type="dxa"/>
            <w:vAlign w:val="top"/>
          </w:tcPr>
          <w:p w14:paraId="05A66A82">
            <w:pPr>
              <w:pStyle w:val="13"/>
            </w:pPr>
          </w:p>
        </w:tc>
        <w:tc>
          <w:tcPr>
            <w:tcW w:w="1436" w:type="dxa"/>
            <w:vAlign w:val="top"/>
          </w:tcPr>
          <w:p w14:paraId="0839C9A4">
            <w:pPr>
              <w:pStyle w:val="13"/>
            </w:pPr>
          </w:p>
        </w:tc>
        <w:tc>
          <w:tcPr>
            <w:tcW w:w="1050" w:type="dxa"/>
            <w:vAlign w:val="top"/>
          </w:tcPr>
          <w:p w14:paraId="7A96EE98">
            <w:pPr>
              <w:pStyle w:val="13"/>
            </w:pPr>
          </w:p>
        </w:tc>
        <w:tc>
          <w:tcPr>
            <w:tcW w:w="825" w:type="dxa"/>
            <w:vAlign w:val="top"/>
          </w:tcPr>
          <w:p w14:paraId="146DCFC1">
            <w:pPr>
              <w:pStyle w:val="13"/>
            </w:pPr>
          </w:p>
        </w:tc>
        <w:tc>
          <w:tcPr>
            <w:tcW w:w="1737" w:type="dxa"/>
            <w:vAlign w:val="top"/>
          </w:tcPr>
          <w:p w14:paraId="68D2BC05">
            <w:pPr>
              <w:pStyle w:val="13"/>
            </w:pPr>
          </w:p>
        </w:tc>
        <w:tc>
          <w:tcPr>
            <w:tcW w:w="1011" w:type="dxa"/>
            <w:vAlign w:val="top"/>
          </w:tcPr>
          <w:p w14:paraId="598A9843">
            <w:pPr>
              <w:pStyle w:val="13"/>
            </w:pPr>
          </w:p>
        </w:tc>
        <w:tc>
          <w:tcPr>
            <w:tcW w:w="1575" w:type="dxa"/>
            <w:vAlign w:val="top"/>
          </w:tcPr>
          <w:p w14:paraId="44E01312">
            <w:pPr>
              <w:pStyle w:val="13"/>
            </w:pPr>
          </w:p>
        </w:tc>
        <w:tc>
          <w:tcPr>
            <w:tcW w:w="2099" w:type="dxa"/>
            <w:vAlign w:val="top"/>
          </w:tcPr>
          <w:p w14:paraId="0AB84F68">
            <w:pPr>
              <w:pStyle w:val="13"/>
            </w:pPr>
          </w:p>
        </w:tc>
        <w:tc>
          <w:tcPr>
            <w:tcW w:w="1376" w:type="dxa"/>
            <w:vAlign w:val="top"/>
          </w:tcPr>
          <w:p w14:paraId="1AA91362">
            <w:pPr>
              <w:pStyle w:val="13"/>
            </w:pPr>
          </w:p>
        </w:tc>
        <w:tc>
          <w:tcPr>
            <w:tcW w:w="1644" w:type="dxa"/>
            <w:vAlign w:val="top"/>
          </w:tcPr>
          <w:p w14:paraId="6CF85B6F">
            <w:pPr>
              <w:pStyle w:val="13"/>
            </w:pPr>
          </w:p>
        </w:tc>
      </w:tr>
    </w:tbl>
    <w:p w14:paraId="07C6041A">
      <w:pPr>
        <w:pStyle w:val="3"/>
        <w:spacing w:before="116" w:line="307" w:lineRule="auto"/>
        <w:ind w:left="5" w:firstLine="5"/>
        <w:rPr>
          <w:rFonts w:ascii="Arial"/>
          <w:sz w:val="21"/>
        </w:rPr>
      </w:pPr>
      <w:r>
        <w:rPr>
          <w:sz w:val="24"/>
          <w:szCs w:val="24"/>
        </w:rPr>
        <w:t>注：1.“符合转专业的基本条件</w:t>
      </w:r>
      <w:r>
        <w:rPr>
          <w:spacing w:val="-88"/>
          <w:sz w:val="24"/>
          <w:szCs w:val="24"/>
        </w:rPr>
        <w:t xml:space="preserve"> </w:t>
      </w:r>
      <w:r>
        <w:rPr>
          <w:sz w:val="24"/>
          <w:szCs w:val="24"/>
        </w:rPr>
        <w:t>”栏按本办法第五条审核情况填写“（一）、（二</w:t>
      </w:r>
      <w:r>
        <w:rPr>
          <w:spacing w:val="-1"/>
          <w:sz w:val="24"/>
          <w:szCs w:val="24"/>
        </w:rPr>
        <w:t>）……</w:t>
      </w:r>
      <w:r>
        <w:rPr>
          <w:spacing w:val="-8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”。2.此表纸质版和电子版交至教务处学籍</w:t>
      </w:r>
      <w:r>
        <w:rPr>
          <w:spacing w:val="-9"/>
          <w:sz w:val="24"/>
          <w:szCs w:val="24"/>
        </w:rPr>
        <w:t>科。</w:t>
      </w:r>
    </w:p>
    <w:p w14:paraId="1635CAE8">
      <w:pPr>
        <w:pStyle w:val="3"/>
        <w:spacing w:before="91" w:line="219" w:lineRule="auto"/>
        <w:rPr>
          <w:rFonts w:hint="eastAsia" w:ascii="Calibri" w:hAnsi="Calibri" w:eastAsia="仿宋_GB2312"/>
          <w:color w:val="auto"/>
          <w:sz w:val="28"/>
          <w:szCs w:val="28"/>
          <w:lang w:val="en-US" w:eastAsia="zh-CN"/>
        </w:rPr>
      </w:pPr>
      <w:r>
        <w:rPr>
          <w:spacing w:val="-2"/>
          <w:sz w:val="28"/>
          <w:szCs w:val="28"/>
        </w:rPr>
        <w:t>填表人：</w:t>
      </w:r>
    </w:p>
    <w:sectPr>
      <w:footerReference r:id="rId6" w:type="default"/>
      <w:pgSz w:w="16838" w:h="11906" w:orient="landscape"/>
      <w:pgMar w:top="1247" w:right="1440" w:bottom="1247" w:left="1440" w:header="851" w:footer="992" w:gutter="0"/>
      <w:cols w:space="720" w:num="1"/>
      <w:rtlGutter w:val="0"/>
      <w:docGrid w:type="linesAndChars" w:linePitch="313" w:charSpace="3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5EF54">
    <w:pPr>
      <w:spacing w:line="176" w:lineRule="auto"/>
      <w:ind w:left="42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C202D">
    <w:pPr>
      <w:spacing w:line="173" w:lineRule="auto"/>
      <w:ind w:left="4585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10628">
    <w:pPr>
      <w:spacing w:line="176" w:lineRule="auto"/>
      <w:ind w:left="514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ED9D2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13</w:t>
    </w:r>
    <w:r>
      <w:rPr>
        <w:rStyle w:val="10"/>
      </w:rPr>
      <w:fldChar w:fldCharType="end"/>
    </w:r>
  </w:p>
  <w:p w14:paraId="682D211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F235C"/>
    <w:rsid w:val="0BED094B"/>
    <w:rsid w:val="13960541"/>
    <w:rsid w:val="1BE563AA"/>
    <w:rsid w:val="1CEB5413"/>
    <w:rsid w:val="227F235C"/>
    <w:rsid w:val="258C2471"/>
    <w:rsid w:val="3B5E4306"/>
    <w:rsid w:val="41046039"/>
    <w:rsid w:val="413211E3"/>
    <w:rsid w:val="41F606BE"/>
    <w:rsid w:val="4349628B"/>
    <w:rsid w:val="4D0157D8"/>
    <w:rsid w:val="54BD3A35"/>
    <w:rsid w:val="55201371"/>
    <w:rsid w:val="5A4E1CDE"/>
    <w:rsid w:val="5FFD06A8"/>
    <w:rsid w:val="63FB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rFonts w:ascii="Times New Roman" w:hAnsi="Times New Roman" w:eastAsia="黑体"/>
      <w:kern w:val="44"/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uiPriority w:val="0"/>
  </w:style>
  <w:style w:type="character" w:styleId="10">
    <w:name w:val="page number"/>
    <w:qFormat/>
    <w:uiPriority w:val="0"/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2453</Words>
  <Characters>2493</Characters>
  <Lines>0</Lines>
  <Paragraphs>0</Paragraphs>
  <TotalTime>1</TotalTime>
  <ScaleCrop>false</ScaleCrop>
  <LinksUpToDate>false</LinksUpToDate>
  <CharactersWithSpaces>2859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2024-11-22T01:08:00Z</dcterms:created>
  <dc:creator>胡子君</dc:creator>
  <cp:lastModifiedBy>胡子君</cp:lastModifiedBy>
  <dcterms:modified xsi:type="dcterms:W3CDTF">2026-06-10T03:41:08Z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4CC9F4B1760F4F5EA2A64876468C2A03_13</vt:lpwstr>
  </property>
  <property fmtid="{D5CDD505-2E9C-101B-9397-08002B2CF9AE}" pid="4" name="KSOTemplateDocerSaveRecord">
    <vt:lpwstr>eyJoZGlkIjoiZDVhYmUxZmU2MjNkYTU5MzgyMTQ3OWQwYjNiMjRlODQiLCJ1c2VySWQiOiI3MTgzOTE1MDkifQ==</vt:lpwstr>
  </property>
</Properties>
</file>