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DFC88">
      <w:pPr>
        <w:pStyle w:val="5"/>
        <w:keepNext w:val="0"/>
        <w:keepLines w:val="0"/>
        <w:pageBreakBefore w:val="0"/>
        <w:widowControl w:val="0"/>
        <w:kinsoku/>
        <w:overflowPunct/>
        <w:topLinePunct w:val="0"/>
        <w:autoSpaceDE/>
        <w:autoSpaceDN/>
        <w:bidi w:val="0"/>
        <w:adjustRightInd/>
        <w:spacing w:line="560" w:lineRule="exac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附件1</w:t>
      </w:r>
      <w:r>
        <w:rPr>
          <w:rFonts w:hint="eastAsia" w:ascii="仿宋_GB2312" w:hAnsi="仿宋_GB2312" w:eastAsia="仿宋_GB2312" w:cs="仿宋_GB2312"/>
          <w:sz w:val="32"/>
          <w:szCs w:val="32"/>
          <w:lang w:val="en-US" w:eastAsia="zh-CN"/>
        </w:rPr>
        <w:t>-</w:t>
      </w:r>
      <w:r>
        <w:rPr>
          <w:rFonts w:hint="eastAsia" w:ascii="Times New Roman" w:hAnsi="Times New Roman" w:eastAsia="黑体" w:cs="黑体"/>
          <w:sz w:val="32"/>
          <w:szCs w:val="32"/>
          <w:lang w:val="en-US" w:eastAsia="zh-CN"/>
        </w:rPr>
        <w:t>1</w:t>
      </w:r>
    </w:p>
    <w:p w14:paraId="00842C64">
      <w:pPr>
        <w:pStyle w:val="5"/>
        <w:keepNext w:val="0"/>
        <w:keepLines w:val="0"/>
        <w:pageBreakBefore w:val="0"/>
        <w:widowControl w:val="0"/>
        <w:kinsoku/>
        <w:overflowPunct/>
        <w:topLinePunct w:val="0"/>
        <w:autoSpaceDE/>
        <w:autoSpaceDN/>
        <w:bidi w:val="0"/>
        <w:adjustRightInd/>
        <w:spacing w:line="560" w:lineRule="exact"/>
        <w:textAlignment w:val="auto"/>
        <w:rPr>
          <w:rFonts w:hint="eastAsia" w:ascii="Times New Roman" w:hAnsi="Times New Roman" w:eastAsia="黑体" w:cs="黑体"/>
          <w:sz w:val="32"/>
          <w:szCs w:val="32"/>
          <w:lang w:val="en-US" w:eastAsia="zh-CN"/>
        </w:rPr>
      </w:pPr>
    </w:p>
    <w:p w14:paraId="383C4734">
      <w:pPr>
        <w:keepNext w:val="0"/>
        <w:keepLines w:val="0"/>
        <w:pageBreakBefore w:val="0"/>
        <w:widowControl w:val="0"/>
        <w:kinsoku/>
        <w:wordWrap w:val="0"/>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202</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5</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年度“中国流动科技馆湖南巡展项目”</w:t>
      </w:r>
    </w:p>
    <w:p w14:paraId="39AC5D97">
      <w:pPr>
        <w:keepNext w:val="0"/>
        <w:keepLines w:val="0"/>
        <w:pageBreakBefore w:val="0"/>
        <w:widowControl w:val="0"/>
        <w:kinsoku/>
        <w:wordWrap w:val="0"/>
        <w:overflowPunct/>
        <w:topLinePunct w:val="0"/>
        <w:autoSpaceDE/>
        <w:autoSpaceDN/>
        <w:bidi w:val="0"/>
        <w:adjustRightInd/>
        <w:spacing w:line="56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绩效评价评审方案</w:t>
      </w:r>
    </w:p>
    <w:p w14:paraId="485606C4">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仿宋_GB2312"/>
          <w:color w:val="000000" w:themeColor="text1"/>
          <w:kern w:val="0"/>
          <w:sz w:val="32"/>
          <w:szCs w:val="32"/>
          <w14:textFill>
            <w14:solidFill>
              <w14:schemeClr w14:val="tx1"/>
            </w14:solidFill>
          </w14:textFill>
        </w:rPr>
      </w:pPr>
    </w:p>
    <w:p w14:paraId="0323860F">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根据中国科协办公厅关于印发《中国流动科技馆项目考核管理暂行办法》的通知（科协办函普字〔2022〕127号）</w:t>
      </w:r>
      <w:r>
        <w:rPr>
          <w:rFonts w:hint="eastAsia" w:ascii="Times New Roman" w:hAnsi="Times New Roman" w:eastAsia="仿宋_GB2312" w:cs="宋体"/>
          <w:color w:val="000000" w:themeColor="text1"/>
          <w:kern w:val="0"/>
          <w:sz w:val="32"/>
          <w:szCs w:val="32"/>
          <w14:textFill>
            <w14:solidFill>
              <w14:schemeClr w14:val="tx1"/>
            </w14:solidFill>
          </w14:textFill>
        </w:rPr>
        <w:t>要求，省科协将对202</w:t>
      </w:r>
      <w:r>
        <w:rPr>
          <w:rFonts w:hint="eastAsia" w:ascii="Times New Roman" w:hAnsi="Times New Roman" w:eastAsia="仿宋_GB2312" w:cs="宋体"/>
          <w:color w:val="000000" w:themeColor="text1"/>
          <w:kern w:val="0"/>
          <w:sz w:val="32"/>
          <w:szCs w:val="32"/>
          <w:lang w:val="en-US" w:eastAsia="zh-CN"/>
          <w14:textFill>
            <w14:solidFill>
              <w14:schemeClr w14:val="tx1"/>
            </w14:solidFill>
          </w14:textFill>
        </w:rPr>
        <w:t>5</w:t>
      </w:r>
      <w:r>
        <w:rPr>
          <w:rFonts w:hint="eastAsia" w:ascii="Times New Roman" w:hAnsi="Times New Roman" w:eastAsia="仿宋_GB2312" w:cs="宋体"/>
          <w:color w:val="000000" w:themeColor="text1"/>
          <w:kern w:val="0"/>
          <w:sz w:val="32"/>
          <w:szCs w:val="32"/>
          <w14:textFill>
            <w14:solidFill>
              <w14:schemeClr w14:val="tx1"/>
            </w14:solidFill>
          </w14:textFill>
        </w:rPr>
        <w:t>年度“中国流动科技馆湖南巡展项目”进行绩效评价评审，</w:t>
      </w:r>
      <w:r>
        <w:rPr>
          <w:rFonts w:hint="eastAsia" w:ascii="Times New Roman" w:hAnsi="Times New Roman" w:eastAsia="仿宋_GB2312" w:cs="仿宋_GB2312"/>
          <w:color w:val="000000" w:themeColor="text1"/>
          <w:kern w:val="0"/>
          <w:sz w:val="32"/>
          <w:szCs w:val="32"/>
          <w14:textFill>
            <w14:solidFill>
              <w14:schemeClr w14:val="tx1"/>
            </w14:solidFill>
          </w14:textFill>
        </w:rPr>
        <w:t>现制定评审方案如下：</w:t>
      </w:r>
    </w:p>
    <w:p w14:paraId="67F81C55">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黑体" w:cs="黑体"/>
          <w:color w:val="000000" w:themeColor="text1"/>
          <w:kern w:val="0"/>
          <w:sz w:val="32"/>
          <w:szCs w:val="32"/>
          <w14:textFill>
            <w14:solidFill>
              <w14:schemeClr w14:val="tx1"/>
            </w14:solidFill>
          </w14:textFill>
        </w:rPr>
      </w:pPr>
      <w:r>
        <w:rPr>
          <w:rFonts w:hint="eastAsia" w:ascii="Times New Roman" w:hAnsi="Times New Roman" w:eastAsia="黑体" w:cs="黑体"/>
          <w:color w:val="000000" w:themeColor="text1"/>
          <w:kern w:val="0"/>
          <w:sz w:val="32"/>
          <w:szCs w:val="32"/>
          <w14:textFill>
            <w14:solidFill>
              <w14:schemeClr w14:val="tx1"/>
            </w14:solidFill>
          </w14:textFill>
        </w:rPr>
        <w:t>一、评审对象</w:t>
      </w:r>
    </w:p>
    <w:p w14:paraId="7EA8DD14">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2025年度中国流动科技馆湖南巡展项目站点15个</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其中</w:t>
      </w:r>
      <w:r>
        <w:rPr>
          <w:rFonts w:hint="eastAsia" w:ascii="Times New Roman" w:hAnsi="Times New Roman" w:eastAsia="仿宋_GB2312" w:cs="仿宋_GB2312"/>
          <w:color w:val="000000" w:themeColor="text1"/>
          <w:kern w:val="0"/>
          <w:sz w:val="32"/>
          <w:szCs w:val="32"/>
          <w14:textFill>
            <w14:solidFill>
              <w14:schemeClr w14:val="tx1"/>
            </w14:solidFill>
          </w14:textFill>
        </w:rPr>
        <w:t>常规巡展站点9个</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分别是</w:t>
      </w:r>
      <w:r>
        <w:rPr>
          <w:rFonts w:hint="eastAsia" w:ascii="Times New Roman" w:hAnsi="Times New Roman" w:eastAsia="仿宋_GB2312" w:cs="仿宋_GB2312"/>
          <w:color w:val="000000" w:themeColor="text1"/>
          <w:kern w:val="0"/>
          <w:sz w:val="32"/>
          <w:szCs w:val="32"/>
          <w:lang w:val="en"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江华瑶族自治县站、平江县站、凤凰县站、宁远县站、宜章县站、泸溪县站、涟源县站、临武县站、桃江县站；区域换展站点6个</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分别是</w:t>
      </w:r>
      <w:r>
        <w:rPr>
          <w:rFonts w:hint="eastAsia" w:ascii="Times New Roman" w:hAnsi="Times New Roman" w:eastAsia="仿宋_GB2312" w:cs="仿宋_GB2312"/>
          <w:color w:val="000000" w:themeColor="text1"/>
          <w:kern w:val="0"/>
          <w:sz w:val="32"/>
          <w:szCs w:val="32"/>
          <w:lang w:val="en"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芷江侗族自治县站</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通道侗族自治县站、靖州苗族侗族自治县站、新晃侗族自治县站、麻阳苗族自治县站、会同县站。</w:t>
      </w:r>
    </w:p>
    <w:p w14:paraId="43E95644">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黑体" w:cs="黑体"/>
          <w:color w:val="000000" w:themeColor="text1"/>
          <w:kern w:val="0"/>
          <w:sz w:val="32"/>
          <w:szCs w:val="32"/>
          <w14:textFill>
            <w14:solidFill>
              <w14:schemeClr w14:val="tx1"/>
            </w14:solidFill>
          </w14:textFill>
        </w:rPr>
      </w:pPr>
      <w:r>
        <w:rPr>
          <w:rFonts w:hint="eastAsia" w:ascii="Times New Roman" w:hAnsi="Times New Roman" w:eastAsia="黑体" w:cs="黑体"/>
          <w:color w:val="000000" w:themeColor="text1"/>
          <w:kern w:val="0"/>
          <w:sz w:val="32"/>
          <w:szCs w:val="32"/>
          <w14:textFill>
            <w14:solidFill>
              <w14:schemeClr w14:val="tx1"/>
            </w14:solidFill>
          </w14:textFill>
        </w:rPr>
        <w:t>二、评审程序</w:t>
      </w:r>
    </w:p>
    <w:p w14:paraId="58F35D08">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楷体_GB2312" w:cs="楷体"/>
          <w:color w:val="000000" w:themeColor="text1"/>
          <w:kern w:val="0"/>
          <w:sz w:val="32"/>
          <w:szCs w:val="32"/>
          <w14:textFill>
            <w14:solidFill>
              <w14:schemeClr w14:val="tx1"/>
            </w14:solidFill>
          </w14:textFill>
        </w:rPr>
      </w:pPr>
      <w:r>
        <w:rPr>
          <w:rFonts w:hint="eastAsia" w:ascii="Times New Roman" w:hAnsi="Times New Roman" w:eastAsia="楷体_GB2312" w:cs="楷体"/>
          <w:color w:val="000000" w:themeColor="text1"/>
          <w:kern w:val="0"/>
          <w:sz w:val="32"/>
          <w:szCs w:val="32"/>
          <w14:textFill>
            <w14:solidFill>
              <w14:schemeClr w14:val="tx1"/>
            </w14:solidFill>
          </w14:textFill>
        </w:rPr>
        <w:t>（一）资格初审</w:t>
      </w:r>
    </w:p>
    <w:p w14:paraId="12D6DBAD">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省</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科协科普部</w:t>
      </w:r>
      <w:r>
        <w:rPr>
          <w:rFonts w:hint="eastAsia" w:ascii="Times New Roman" w:hAnsi="Times New Roman" w:eastAsia="仿宋_GB2312" w:cs="仿宋_GB2312"/>
          <w:color w:val="000000" w:themeColor="text1"/>
          <w:kern w:val="0"/>
          <w:sz w:val="32"/>
          <w:szCs w:val="32"/>
          <w14:textFill>
            <w14:solidFill>
              <w14:schemeClr w14:val="tx1"/>
            </w14:solidFill>
          </w14:textFill>
        </w:rPr>
        <w:t>按照</w:t>
      </w:r>
      <w:r>
        <w:rPr>
          <w:rFonts w:hint="eastAsia" w:ascii="Times New Roman" w:hAnsi="Times New Roman" w:eastAsia="仿宋_GB2312"/>
          <w:color w:val="000000" w:themeColor="text1"/>
          <w:kern w:val="0"/>
          <w:sz w:val="32"/>
          <w:szCs w:val="32"/>
          <w14:textFill>
            <w14:solidFill>
              <w14:schemeClr w14:val="tx1"/>
            </w14:solidFill>
          </w14:textFill>
        </w:rPr>
        <w:t>《中国流动科技馆项目考核管理暂行办法》的</w:t>
      </w:r>
      <w:r>
        <w:rPr>
          <w:rFonts w:hint="eastAsia" w:ascii="Times New Roman" w:hAnsi="Times New Roman" w:eastAsia="仿宋_GB2312" w:cs="仿宋_GB2312"/>
          <w:color w:val="000000" w:themeColor="text1"/>
          <w:kern w:val="0"/>
          <w:sz w:val="32"/>
          <w:szCs w:val="32"/>
          <w14:textFill>
            <w14:solidFill>
              <w14:schemeClr w14:val="tx1"/>
            </w14:solidFill>
          </w14:textFill>
        </w:rPr>
        <w:t>要求</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对评审对象上报的材料进行资格审查，对符合要求的材料交专家评审</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会</w:t>
      </w:r>
      <w:r>
        <w:rPr>
          <w:rFonts w:hint="eastAsia" w:ascii="Times New Roman" w:hAnsi="Times New Roman" w:eastAsia="仿宋_GB2312" w:cs="仿宋_GB2312"/>
          <w:color w:val="000000" w:themeColor="text1"/>
          <w:kern w:val="0"/>
          <w:sz w:val="32"/>
          <w:szCs w:val="32"/>
          <w14:textFill>
            <w14:solidFill>
              <w14:schemeClr w14:val="tx1"/>
            </w14:solidFill>
          </w14:textFill>
        </w:rPr>
        <w:t>进行打分评审，对不符合要求的材料交专家</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评审</w:t>
      </w:r>
      <w:r>
        <w:rPr>
          <w:rFonts w:hint="eastAsia" w:ascii="Times New Roman" w:hAnsi="Times New Roman" w:eastAsia="仿宋_GB2312" w:cs="仿宋_GB2312"/>
          <w:color w:val="000000" w:themeColor="text1"/>
          <w:kern w:val="0"/>
          <w:sz w:val="32"/>
          <w:szCs w:val="32"/>
          <w14:textFill>
            <w14:solidFill>
              <w14:schemeClr w14:val="tx1"/>
            </w14:solidFill>
          </w14:textFill>
        </w:rPr>
        <w:t>会评议后，取消其评审资格。</w:t>
      </w:r>
    </w:p>
    <w:p w14:paraId="3339298E">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楷体_GB2312" w:cs="楷体"/>
          <w:color w:val="000000" w:themeColor="text1"/>
          <w:kern w:val="0"/>
          <w:sz w:val="32"/>
          <w:szCs w:val="32"/>
          <w14:textFill>
            <w14:solidFill>
              <w14:schemeClr w14:val="tx1"/>
            </w14:solidFill>
          </w14:textFill>
        </w:rPr>
      </w:pPr>
      <w:r>
        <w:rPr>
          <w:rFonts w:hint="eastAsia" w:ascii="Times New Roman" w:hAnsi="Times New Roman" w:eastAsia="楷体_GB2312" w:cs="楷体"/>
          <w:color w:val="000000" w:themeColor="text1"/>
          <w:kern w:val="0"/>
          <w:sz w:val="32"/>
          <w:szCs w:val="32"/>
          <w14:textFill>
            <w14:solidFill>
              <w14:schemeClr w14:val="tx1"/>
            </w14:solidFill>
          </w14:textFill>
        </w:rPr>
        <w:t>（二）专家评审</w:t>
      </w:r>
    </w:p>
    <w:p w14:paraId="61F3C80F">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根据《省科协项目评审监督实施办法（试行）》要求，在省科协机关纪委监督下，从省科协科普专家库中随机抽取评审专家</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根据申报材料进行打分评比</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p>
    <w:p w14:paraId="6AF1041D">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Times New Roman" w:hAnsi="Times New Roman" w:eastAsia="楷体_GB2312" w:cs="楷体"/>
          <w:color w:val="000000" w:themeColor="text1"/>
          <w:kern w:val="0"/>
          <w:sz w:val="32"/>
          <w:szCs w:val="32"/>
          <w:lang w:val="en-US" w:eastAsia="zh-CN"/>
          <w14:textFill>
            <w14:solidFill>
              <w14:schemeClr w14:val="tx1"/>
            </w14:solidFill>
          </w14:textFill>
        </w:rPr>
      </w:pPr>
      <w:r>
        <w:rPr>
          <w:rFonts w:hint="eastAsia" w:ascii="Times New Roman" w:hAnsi="Times New Roman" w:eastAsia="楷体_GB2312" w:cs="楷体"/>
          <w:color w:val="000000" w:themeColor="text1"/>
          <w:kern w:val="0"/>
          <w:sz w:val="32"/>
          <w:szCs w:val="32"/>
          <w:lang w:eastAsia="zh-CN"/>
          <w14:textFill>
            <w14:solidFill>
              <w14:schemeClr w14:val="tx1"/>
            </w14:solidFill>
          </w14:textFill>
        </w:rPr>
        <w:t>（</w:t>
      </w:r>
      <w:r>
        <w:rPr>
          <w:rFonts w:hint="eastAsia" w:ascii="Times New Roman" w:hAnsi="Times New Roman" w:eastAsia="楷体_GB2312" w:cs="楷体"/>
          <w:color w:val="000000" w:themeColor="text1"/>
          <w:kern w:val="0"/>
          <w:sz w:val="32"/>
          <w:szCs w:val="32"/>
          <w:lang w:val="en-US" w:eastAsia="zh-CN"/>
          <w14:textFill>
            <w14:solidFill>
              <w14:schemeClr w14:val="tx1"/>
            </w14:solidFill>
          </w14:textFill>
        </w:rPr>
        <w:t>三</w:t>
      </w:r>
      <w:r>
        <w:rPr>
          <w:rFonts w:hint="eastAsia" w:ascii="Times New Roman" w:hAnsi="Times New Roman" w:eastAsia="楷体_GB2312" w:cs="楷体"/>
          <w:color w:val="000000" w:themeColor="text1"/>
          <w:kern w:val="0"/>
          <w:sz w:val="32"/>
          <w:szCs w:val="32"/>
          <w:lang w:eastAsia="zh-CN"/>
          <w14:textFill>
            <w14:solidFill>
              <w14:schemeClr w14:val="tx1"/>
            </w14:solidFill>
          </w14:textFill>
        </w:rPr>
        <w:t>）</w:t>
      </w:r>
      <w:r>
        <w:rPr>
          <w:rFonts w:hint="eastAsia" w:ascii="Times New Roman" w:hAnsi="Times New Roman" w:eastAsia="楷体_GB2312" w:cs="楷体"/>
          <w:color w:val="000000" w:themeColor="text1"/>
          <w:kern w:val="0"/>
          <w:sz w:val="32"/>
          <w:szCs w:val="32"/>
          <w14:textFill>
            <w14:solidFill>
              <w14:schemeClr w14:val="tx1"/>
            </w14:solidFill>
          </w14:textFill>
        </w:rPr>
        <w:t>评审结果</w:t>
      </w:r>
      <w:r>
        <w:rPr>
          <w:rFonts w:hint="eastAsia" w:ascii="Times New Roman" w:hAnsi="Times New Roman" w:eastAsia="楷体_GB2312" w:cs="楷体"/>
          <w:color w:val="000000" w:themeColor="text1"/>
          <w:kern w:val="0"/>
          <w:sz w:val="32"/>
          <w:szCs w:val="32"/>
          <w:lang w:val="en-US" w:eastAsia="zh-CN"/>
          <w14:textFill>
            <w14:solidFill>
              <w14:schemeClr w14:val="tx1"/>
            </w14:solidFill>
          </w14:textFill>
        </w:rPr>
        <w:t>公示</w:t>
      </w:r>
    </w:p>
    <w:p w14:paraId="256D1C44">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评审结果按有关要求进行公示</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公示无</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异议</w:t>
      </w:r>
      <w:r>
        <w:rPr>
          <w:rFonts w:hint="eastAsia" w:ascii="Times New Roman" w:hAnsi="Times New Roman" w:eastAsia="仿宋_GB2312" w:cs="仿宋_GB2312"/>
          <w:color w:val="000000" w:themeColor="text1"/>
          <w:kern w:val="0"/>
          <w:sz w:val="32"/>
          <w:szCs w:val="32"/>
          <w14:textFill>
            <w14:solidFill>
              <w14:schemeClr w14:val="tx1"/>
            </w14:solidFill>
          </w14:textFill>
        </w:rPr>
        <w:t>后发布立项名单。</w:t>
      </w:r>
    </w:p>
    <w:p w14:paraId="45E7D074">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黑体" w:cs="黑体"/>
          <w:color w:val="000000" w:themeColor="text1"/>
          <w:kern w:val="0"/>
          <w:sz w:val="32"/>
          <w:szCs w:val="32"/>
          <w14:textFill>
            <w14:solidFill>
              <w14:schemeClr w14:val="tx1"/>
            </w14:solidFill>
          </w14:textFill>
        </w:rPr>
      </w:pPr>
      <w:r>
        <w:rPr>
          <w:rFonts w:hint="eastAsia" w:ascii="Times New Roman" w:hAnsi="Times New Roman" w:eastAsia="黑体" w:cs="黑体"/>
          <w:color w:val="000000" w:themeColor="text1"/>
          <w:kern w:val="0"/>
          <w:sz w:val="32"/>
          <w:szCs w:val="32"/>
          <w:lang w:eastAsia="zh-CN"/>
          <w14:textFill>
            <w14:solidFill>
              <w14:schemeClr w14:val="tx1"/>
            </w14:solidFill>
          </w14:textFill>
        </w:rPr>
        <w:t>三</w:t>
      </w:r>
      <w:r>
        <w:rPr>
          <w:rFonts w:hint="eastAsia" w:ascii="Times New Roman" w:hAnsi="Times New Roman" w:eastAsia="黑体" w:cs="黑体"/>
          <w:color w:val="000000" w:themeColor="text1"/>
          <w:kern w:val="0"/>
          <w:sz w:val="32"/>
          <w:szCs w:val="32"/>
          <w14:textFill>
            <w14:solidFill>
              <w14:schemeClr w14:val="tx1"/>
            </w14:solidFill>
          </w14:textFill>
        </w:rPr>
        <w:t>、评审办法</w:t>
      </w:r>
    </w:p>
    <w:p w14:paraId="1A63C509">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根据</w:t>
      </w:r>
      <w:r>
        <w:rPr>
          <w:rFonts w:hint="eastAsia" w:ascii="Times New Roman" w:hAnsi="Times New Roman" w:eastAsia="仿宋_GB2312"/>
          <w:color w:val="000000" w:themeColor="text1"/>
          <w:kern w:val="0"/>
          <w:sz w:val="32"/>
          <w:szCs w:val="32"/>
          <w14:textFill>
            <w14:solidFill>
              <w14:schemeClr w14:val="tx1"/>
            </w14:solidFill>
          </w14:textFill>
        </w:rPr>
        <w:t>《中国流动科技馆项目考核管理暂行办法》的</w:t>
      </w:r>
      <w:r>
        <w:rPr>
          <w:rFonts w:hint="eastAsia" w:ascii="Times New Roman" w:hAnsi="Times New Roman" w:eastAsia="仿宋_GB2312" w:cs="仿宋_GB2312"/>
          <w:color w:val="000000" w:themeColor="text1"/>
          <w:kern w:val="0"/>
          <w:sz w:val="32"/>
          <w:szCs w:val="32"/>
          <w14:textFill>
            <w14:solidFill>
              <w14:schemeClr w14:val="tx1"/>
            </w14:solidFill>
          </w14:textFill>
        </w:rPr>
        <w:t>要求，评分主要从基础保障</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组织实施、运行效果</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等三</w:t>
      </w:r>
      <w:r>
        <w:rPr>
          <w:rFonts w:hint="eastAsia" w:ascii="Times New Roman" w:hAnsi="Times New Roman" w:eastAsia="仿宋_GB2312" w:cs="仿宋_GB2312"/>
          <w:color w:val="000000" w:themeColor="text1"/>
          <w:kern w:val="0"/>
          <w:sz w:val="32"/>
          <w:szCs w:val="32"/>
          <w14:textFill>
            <w14:solidFill>
              <w14:schemeClr w14:val="tx1"/>
            </w14:solidFill>
          </w14:textFill>
        </w:rPr>
        <w:t>个方面进行评审</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具体标准详见</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附件评分细则</w:t>
      </w:r>
    </w:p>
    <w:p w14:paraId="2EB693A0">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黑体" w:cs="黑体"/>
          <w:color w:val="000000" w:themeColor="text1"/>
          <w:kern w:val="0"/>
          <w:sz w:val="32"/>
          <w:szCs w:val="32"/>
          <w14:textFill>
            <w14:solidFill>
              <w14:schemeClr w14:val="tx1"/>
            </w14:solidFill>
          </w14:textFill>
        </w:rPr>
      </w:pPr>
      <w:r>
        <w:rPr>
          <w:rFonts w:hint="eastAsia" w:ascii="Times New Roman" w:hAnsi="Times New Roman" w:eastAsia="黑体" w:cs="黑体"/>
          <w:color w:val="000000" w:themeColor="text1"/>
          <w:kern w:val="0"/>
          <w:sz w:val="32"/>
          <w:szCs w:val="32"/>
          <w:lang w:val="en-US" w:eastAsia="zh-CN"/>
          <w14:textFill>
            <w14:solidFill>
              <w14:schemeClr w14:val="tx1"/>
            </w14:solidFill>
          </w14:textFill>
        </w:rPr>
        <w:t>四</w:t>
      </w:r>
      <w:r>
        <w:rPr>
          <w:rFonts w:hint="eastAsia" w:ascii="Times New Roman" w:hAnsi="Times New Roman" w:eastAsia="黑体" w:cs="黑体"/>
          <w:color w:val="000000" w:themeColor="text1"/>
          <w:kern w:val="0"/>
          <w:sz w:val="32"/>
          <w:szCs w:val="32"/>
          <w14:textFill>
            <w14:solidFill>
              <w14:schemeClr w14:val="tx1"/>
            </w14:solidFill>
          </w14:textFill>
        </w:rPr>
        <w:t>、资金安排</w:t>
      </w:r>
    </w:p>
    <w:p w14:paraId="71D5DEE4">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评审结果分优秀</w:t>
      </w:r>
      <w:bookmarkStart w:id="0" w:name="_GoBack"/>
      <w:bookmarkEnd w:id="0"/>
      <w:r>
        <w:rPr>
          <w:rFonts w:hint="eastAsia" w:ascii="Times New Roman" w:hAnsi="Times New Roman" w:eastAsia="仿宋_GB2312" w:cs="仿宋_GB2312"/>
          <w:color w:val="000000" w:themeColor="text1"/>
          <w:kern w:val="0"/>
          <w:sz w:val="32"/>
          <w:szCs w:val="32"/>
          <w14:textFill>
            <w14:solidFill>
              <w14:schemeClr w14:val="tx1"/>
            </w14:solidFill>
          </w14:textFill>
        </w:rPr>
        <w:t>、良好、合格三个等次。优秀等次4名</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良好等次</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8</w:t>
      </w:r>
      <w:r>
        <w:rPr>
          <w:rFonts w:hint="eastAsia" w:ascii="Times New Roman" w:hAnsi="Times New Roman" w:eastAsia="仿宋_GB2312" w:cs="仿宋_GB2312"/>
          <w:color w:val="000000" w:themeColor="text1"/>
          <w:kern w:val="0"/>
          <w:sz w:val="32"/>
          <w:szCs w:val="32"/>
          <w14:textFill>
            <w14:solidFill>
              <w14:schemeClr w14:val="tx1"/>
            </w14:solidFill>
          </w14:textFill>
        </w:rPr>
        <w:t>名</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合格等次</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w:t>
      </w:r>
      <w:r>
        <w:rPr>
          <w:rFonts w:hint="eastAsia" w:ascii="Times New Roman" w:hAnsi="Times New Roman" w:eastAsia="仿宋_GB2312" w:cs="仿宋_GB2312"/>
          <w:color w:val="000000" w:themeColor="text1"/>
          <w:kern w:val="0"/>
          <w:sz w:val="32"/>
          <w:szCs w:val="32"/>
          <w14:textFill>
            <w14:solidFill>
              <w14:schemeClr w14:val="tx1"/>
            </w14:solidFill>
          </w14:textFill>
        </w:rPr>
        <w:t>名。优秀等次站点补助</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良好等次站点补助</w:t>
      </w:r>
      <w:r>
        <w:rPr>
          <w:rFonts w:hint="default" w:ascii="Times New Roman" w:hAnsi="Times New Roman" w:eastAsia="仿宋_GB2312" w:cs="仿宋_GB2312"/>
          <w:color w:val="000000" w:themeColor="text1"/>
          <w:kern w:val="0"/>
          <w:sz w:val="32"/>
          <w:szCs w:val="32"/>
          <w:lang w:val="en"/>
          <w14:textFill>
            <w14:solidFill>
              <w14:schemeClr w14:val="tx1"/>
            </w14:solidFill>
          </w14:textFill>
        </w:rPr>
        <w:t>5</w:t>
      </w:r>
      <w:r>
        <w:rPr>
          <w:rFonts w:hint="eastAsia" w:ascii="Times New Roman" w:hAnsi="Times New Roman" w:eastAsia="仿宋_GB2312" w:cs="仿宋_GB2312"/>
          <w:color w:val="000000" w:themeColor="text1"/>
          <w:kern w:val="0"/>
          <w:sz w:val="32"/>
          <w:szCs w:val="32"/>
          <w14:textFill>
            <w14:solidFill>
              <w14:schemeClr w14:val="tx1"/>
            </w14:solidFill>
          </w14:textFill>
        </w:rPr>
        <w:t>万元</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kern w:val="0"/>
          <w:sz w:val="32"/>
          <w:szCs w:val="32"/>
          <w14:textFill>
            <w14:solidFill>
              <w14:schemeClr w14:val="tx1"/>
            </w14:solidFill>
          </w14:textFill>
        </w:rPr>
        <w:t>合格等次站点补助</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4</w:t>
      </w:r>
      <w:r>
        <w:rPr>
          <w:rFonts w:hint="eastAsia" w:ascii="Times New Roman" w:hAnsi="Times New Roman" w:eastAsia="仿宋_GB2312" w:cs="仿宋_GB2312"/>
          <w:color w:val="000000" w:themeColor="text1"/>
          <w:kern w:val="0"/>
          <w:sz w:val="32"/>
          <w:szCs w:val="32"/>
          <w14:textFill>
            <w14:solidFill>
              <w14:schemeClr w14:val="tx1"/>
            </w14:solidFill>
          </w14:textFill>
        </w:rPr>
        <w:t>万元。共计资金76万元。</w:t>
      </w:r>
    </w:p>
    <w:p w14:paraId="461B4176">
      <w:pPr>
        <w:keepNext w:val="0"/>
        <w:keepLines w:val="0"/>
        <w:pageBreakBefore w:val="0"/>
        <w:widowControl w:val="0"/>
        <w:numPr>
          <w:ilvl w:val="0"/>
          <w:numId w:val="0"/>
        </w:numPr>
        <w:kinsoku/>
        <w:wordWrap w:val="0"/>
        <w:overflowPunct/>
        <w:topLinePunct w:val="0"/>
        <w:autoSpaceDE/>
        <w:autoSpaceDN/>
        <w:bidi w:val="0"/>
        <w:adjustRightInd/>
        <w:spacing w:line="560" w:lineRule="exact"/>
        <w:ind w:firstLine="640" w:firstLineChars="200"/>
        <w:textAlignment w:val="auto"/>
        <w:rPr>
          <w:rFonts w:hint="eastAsia" w:ascii="Times New Roman" w:hAnsi="Times New Roman" w:eastAsia="黑体" w:cs="黑体"/>
          <w:color w:val="000000" w:themeColor="text1"/>
          <w:kern w:val="0"/>
          <w:sz w:val="32"/>
          <w:szCs w:val="32"/>
          <w:lang w:val="en-US" w:eastAsia="zh-CN"/>
          <w14:textFill>
            <w14:solidFill>
              <w14:schemeClr w14:val="tx1"/>
            </w14:solidFill>
          </w14:textFill>
        </w:rPr>
      </w:pPr>
      <w:r>
        <w:rPr>
          <w:rFonts w:hint="eastAsia" w:ascii="Times New Roman" w:hAnsi="Times New Roman" w:eastAsia="黑体" w:cs="黑体"/>
          <w:color w:val="000000" w:themeColor="text1"/>
          <w:kern w:val="0"/>
          <w:sz w:val="32"/>
          <w:szCs w:val="32"/>
          <w:lang w:val="en-US" w:eastAsia="zh-CN" w:bidi="ar-SA"/>
          <w14:textFill>
            <w14:solidFill>
              <w14:schemeClr w14:val="tx1"/>
            </w14:solidFill>
          </w14:textFill>
        </w:rPr>
        <w:t>五、</w:t>
      </w:r>
      <w:r>
        <w:rPr>
          <w:rFonts w:hint="eastAsia" w:ascii="Times New Roman" w:hAnsi="Times New Roman" w:eastAsia="黑体" w:cs="黑体"/>
          <w:color w:val="000000" w:themeColor="text1"/>
          <w:kern w:val="0"/>
          <w:sz w:val="32"/>
          <w:szCs w:val="32"/>
          <w:lang w:val="en-US" w:eastAsia="zh-CN"/>
          <w14:textFill>
            <w14:solidFill>
              <w14:schemeClr w14:val="tx1"/>
            </w14:solidFill>
          </w14:textFill>
        </w:rPr>
        <w:t>中国流动科技馆湖南巡展项目绩效评价评分细则</w:t>
      </w:r>
    </w:p>
    <w:p w14:paraId="3ED137DD">
      <w:pPr>
        <w:pStyle w:val="4"/>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Times New Roman" w:hAnsi="Times New Roman"/>
          <w:lang w:val="en-US" w:eastAsia="zh-CN"/>
        </w:rPr>
      </w:pPr>
      <w:r>
        <w:rPr>
          <w:rFonts w:hint="eastAsia" w:ascii="Times New Roman" w:hAnsi="Times New Roman"/>
          <w:lang w:val="en-US" w:eastAsia="zh-CN"/>
        </w:rPr>
        <w:t>（详见下页）</w:t>
      </w:r>
    </w:p>
    <w:p w14:paraId="2237212E">
      <w:pPr>
        <w:rPr>
          <w:rFonts w:hint="eastAsia" w:ascii="Times New Roman" w:hAnsi="Times New Roman"/>
          <w:lang w:val="en-US" w:eastAsia="zh-CN"/>
        </w:rPr>
      </w:pPr>
      <w:r>
        <w:rPr>
          <w:rFonts w:hint="eastAsia" w:ascii="Times New Roman" w:hAnsi="Times New Roman"/>
          <w:lang w:val="en-US" w:eastAsia="zh-CN"/>
        </w:rPr>
        <w:br w:type="page"/>
      </w:r>
    </w:p>
    <w:p w14:paraId="2F84FA95">
      <w:pPr>
        <w:wordWrap w:val="0"/>
        <w:jc w:val="center"/>
        <w:rPr>
          <w:rFonts w:hint="eastAsia" w:ascii="Times New Roman" w:hAnsi="Times New Roman" w:eastAsia="方正小标宋简体"/>
          <w:color w:val="000000" w:themeColor="text1"/>
          <w:w w:val="97"/>
          <w:sz w:val="36"/>
          <w:szCs w:val="36"/>
          <w14:textFill>
            <w14:solidFill>
              <w14:schemeClr w14:val="tx1"/>
            </w14:solidFill>
          </w14:textFill>
        </w:rPr>
      </w:pPr>
      <w:r>
        <w:rPr>
          <w:rFonts w:hint="eastAsia" w:ascii="Times New Roman" w:hAnsi="Times New Roman" w:eastAsia="方正小标宋简体"/>
          <w:color w:val="000000" w:themeColor="text1"/>
          <w:w w:val="97"/>
          <w:sz w:val="36"/>
          <w:szCs w:val="36"/>
          <w14:textFill>
            <w14:solidFill>
              <w14:schemeClr w14:val="tx1"/>
            </w14:solidFill>
          </w14:textFill>
        </w:rPr>
        <w:t>中国流动科技馆湖南巡展项目绩效评价评分细则</w:t>
      </w:r>
    </w:p>
    <w:p w14:paraId="2C15920C">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lang w:eastAsia="zh-CN"/>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5645"/>
        <w:gridCol w:w="1345"/>
      </w:tblGrid>
      <w:tr w14:paraId="513E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blHeader/>
          <w:jc w:val="center"/>
        </w:trPr>
        <w:tc>
          <w:tcPr>
            <w:tcW w:w="1100" w:type="dxa"/>
            <w:noWrap/>
            <w:vAlign w:val="center"/>
          </w:tcPr>
          <w:p w14:paraId="282768AF">
            <w:pPr>
              <w:wordWrap w:val="0"/>
              <w:spacing w:line="360" w:lineRule="exact"/>
              <w:jc w:val="center"/>
              <w:rPr>
                <w:rFonts w:ascii="Times New Roman" w:hAnsi="Times New Roman"/>
                <w:b/>
                <w:color w:val="000000" w:themeColor="text1"/>
                <w:sz w:val="24"/>
                <w14:textFill>
                  <w14:solidFill>
                    <w14:schemeClr w14:val="tx1"/>
                  </w14:solidFill>
                </w14:textFill>
              </w:rPr>
            </w:pPr>
            <w:r>
              <w:rPr>
                <w:rFonts w:hint="eastAsia" w:ascii="Times New Roman" w:hAnsi="Times New Roman"/>
                <w:b/>
                <w:color w:val="000000" w:themeColor="text1"/>
                <w:sz w:val="24"/>
                <w14:textFill>
                  <w14:solidFill>
                    <w14:schemeClr w14:val="tx1"/>
                  </w14:solidFill>
                </w14:textFill>
              </w:rPr>
              <w:t>评价</w:t>
            </w:r>
          </w:p>
          <w:p w14:paraId="01F9D8AA">
            <w:pPr>
              <w:wordWrap w:val="0"/>
              <w:spacing w:line="360" w:lineRule="exact"/>
              <w:jc w:val="center"/>
              <w:rPr>
                <w:rFonts w:hint="eastAsia" w:ascii="Times New Roman" w:hAnsi="Times New Roman" w:eastAsia="宋体"/>
                <w:b/>
                <w:color w:val="000000" w:themeColor="text1"/>
                <w:sz w:val="24"/>
                <w:lang w:eastAsia="zh-CN"/>
                <w14:textFill>
                  <w14:solidFill>
                    <w14:schemeClr w14:val="tx1"/>
                  </w14:solidFill>
                </w14:textFill>
              </w:rPr>
            </w:pPr>
            <w:r>
              <w:rPr>
                <w:rFonts w:hint="eastAsia" w:ascii="Times New Roman" w:hAnsi="Times New Roman"/>
                <w:b/>
                <w:color w:val="000000" w:themeColor="text1"/>
                <w:sz w:val="24"/>
                <w:lang w:eastAsia="zh-CN"/>
                <w14:textFill>
                  <w14:solidFill>
                    <w14:schemeClr w14:val="tx1"/>
                  </w14:solidFill>
                </w14:textFill>
              </w:rPr>
              <w:t>指标</w:t>
            </w:r>
          </w:p>
        </w:tc>
        <w:tc>
          <w:tcPr>
            <w:tcW w:w="5645" w:type="dxa"/>
            <w:noWrap/>
            <w:vAlign w:val="center"/>
          </w:tcPr>
          <w:p w14:paraId="10BEFC4C">
            <w:pPr>
              <w:wordWrap w:val="0"/>
              <w:spacing w:line="360" w:lineRule="exact"/>
              <w:jc w:val="center"/>
              <w:rPr>
                <w:rFonts w:ascii="Times New Roman" w:hAnsi="Times New Roman"/>
                <w:b/>
                <w:color w:val="000000" w:themeColor="text1"/>
                <w:sz w:val="24"/>
                <w14:textFill>
                  <w14:solidFill>
                    <w14:schemeClr w14:val="tx1"/>
                  </w14:solidFill>
                </w14:textFill>
              </w:rPr>
            </w:pPr>
            <w:r>
              <w:rPr>
                <w:rFonts w:hint="eastAsia" w:ascii="Times New Roman" w:hAnsi="Times New Roman"/>
                <w:b/>
                <w:color w:val="000000" w:themeColor="text1"/>
                <w:sz w:val="24"/>
                <w14:textFill>
                  <w14:solidFill>
                    <w14:schemeClr w14:val="tx1"/>
                  </w14:solidFill>
                </w14:textFill>
              </w:rPr>
              <w:t>评价要求</w:t>
            </w:r>
          </w:p>
        </w:tc>
        <w:tc>
          <w:tcPr>
            <w:tcW w:w="1345" w:type="dxa"/>
            <w:noWrap/>
            <w:vAlign w:val="center"/>
          </w:tcPr>
          <w:p w14:paraId="4C66C03F">
            <w:pPr>
              <w:wordWrap w:val="0"/>
              <w:spacing w:line="360" w:lineRule="exact"/>
              <w:jc w:val="center"/>
              <w:rPr>
                <w:rFonts w:hint="eastAsia" w:ascii="Times New Roman" w:hAnsi="Times New Roman" w:eastAsia="宋体"/>
                <w:b/>
                <w:color w:val="000000" w:themeColor="text1"/>
                <w:sz w:val="24"/>
                <w:lang w:eastAsia="zh-CN"/>
                <w14:textFill>
                  <w14:solidFill>
                    <w14:schemeClr w14:val="tx1"/>
                  </w14:solidFill>
                </w14:textFill>
              </w:rPr>
            </w:pPr>
            <w:r>
              <w:rPr>
                <w:rFonts w:hint="eastAsia" w:ascii="Times New Roman" w:hAnsi="Times New Roman"/>
                <w:b/>
                <w:color w:val="000000" w:themeColor="text1"/>
                <w:sz w:val="24"/>
                <w:lang w:eastAsia="zh-CN"/>
                <w14:textFill>
                  <w14:solidFill>
                    <w14:schemeClr w14:val="tx1"/>
                  </w14:solidFill>
                </w14:textFill>
              </w:rPr>
              <w:t>评价分数</w:t>
            </w:r>
          </w:p>
        </w:tc>
      </w:tr>
      <w:tr w14:paraId="4BE2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100" w:type="dxa"/>
            <w:vMerge w:val="restart"/>
            <w:noWrap/>
            <w:vAlign w:val="center"/>
          </w:tcPr>
          <w:p w14:paraId="6D017E16">
            <w:pPr>
              <w:wordWrap w:val="0"/>
              <w:spacing w:line="360" w:lineRule="exact"/>
              <w:jc w:val="center"/>
              <w:rPr>
                <w:rFonts w:ascii="Times New Roman" w:hAnsi="Times New Roman" w:eastAsia="仿宋_GB2312" w:cs="仿宋_GB2312"/>
                <w:color w:val="000000" w:themeColor="text1"/>
                <w:sz w:val="22"/>
                <w:szCs w:val="22"/>
                <w14:textFill>
                  <w14:solidFill>
                    <w14:schemeClr w14:val="tx1"/>
                  </w14:solidFill>
                </w14:textFill>
              </w:rPr>
            </w:pPr>
            <w:r>
              <w:rPr>
                <w:rFonts w:hint="eastAsia" w:ascii="Times New Roman" w:hAnsi="Times New Roman" w:eastAsia="仿宋_GB2312" w:cs="仿宋_GB2312"/>
                <w:color w:val="000000" w:themeColor="text1"/>
                <w:sz w:val="22"/>
                <w:szCs w:val="22"/>
                <w14:textFill>
                  <w14:solidFill>
                    <w14:schemeClr w14:val="tx1"/>
                  </w14:solidFill>
                </w14:textFill>
              </w:rPr>
              <w:t>基础保障</w:t>
            </w:r>
          </w:p>
          <w:p w14:paraId="6E4C9458">
            <w:pPr>
              <w:wordWrap w:val="0"/>
              <w:spacing w:line="360" w:lineRule="exact"/>
              <w:jc w:val="center"/>
              <w:rPr>
                <w:rFonts w:hint="eastAsia" w:ascii="Times New Roman" w:hAnsi="Times New Roman" w:eastAsia="仿宋_GB2312" w:cs="仿宋_GB2312"/>
                <w:color w:val="000000" w:themeColor="text1"/>
                <w:sz w:val="22"/>
                <w:szCs w:val="22"/>
                <w:lang w:eastAsia="zh-CN"/>
                <w14:textFill>
                  <w14:solidFill>
                    <w14:schemeClr w14:val="tx1"/>
                  </w14:solidFill>
                </w14:textFill>
              </w:rPr>
            </w:pPr>
            <w:r>
              <w:rPr>
                <w:rFonts w:hint="eastAsia" w:ascii="Times New Roman" w:hAnsi="Times New Roman" w:eastAsia="仿宋_GB2312" w:cs="仿宋_GB2312"/>
                <w:color w:val="000000" w:themeColor="text1"/>
                <w:sz w:val="22"/>
                <w:szCs w:val="22"/>
                <w:lang w:eastAsia="zh-CN"/>
                <w14:textFill>
                  <w14:solidFill>
                    <w14:schemeClr w14:val="tx1"/>
                  </w14:solidFill>
                </w14:textFill>
              </w:rPr>
              <w:t>（</w:t>
            </w:r>
            <w:r>
              <w:rPr>
                <w:rFonts w:hint="eastAsia" w:ascii="Times New Roman" w:hAnsi="Times New Roman" w:eastAsia="仿宋_GB2312" w:cs="仿宋_GB2312"/>
                <w:color w:val="000000" w:themeColor="text1"/>
                <w:sz w:val="22"/>
                <w:szCs w:val="22"/>
                <w:lang w:val="en-US" w:eastAsia="zh-CN"/>
                <w14:textFill>
                  <w14:solidFill>
                    <w14:schemeClr w14:val="tx1"/>
                  </w14:solidFill>
                </w14:textFill>
              </w:rPr>
              <w:t>30分</w:t>
            </w:r>
            <w:r>
              <w:rPr>
                <w:rFonts w:hint="eastAsia" w:ascii="Times New Roman" w:hAnsi="Times New Roman" w:eastAsia="仿宋_GB2312" w:cs="仿宋_GB2312"/>
                <w:color w:val="000000" w:themeColor="text1"/>
                <w:sz w:val="22"/>
                <w:szCs w:val="22"/>
                <w:lang w:eastAsia="zh-CN"/>
                <w14:textFill>
                  <w14:solidFill>
                    <w14:schemeClr w14:val="tx1"/>
                  </w14:solidFill>
                </w14:textFill>
              </w:rPr>
              <w:t>）</w:t>
            </w:r>
          </w:p>
        </w:tc>
        <w:tc>
          <w:tcPr>
            <w:tcW w:w="5645" w:type="dxa"/>
            <w:noWrap/>
            <w:vAlign w:val="center"/>
          </w:tcPr>
          <w:p w14:paraId="1A058F51">
            <w:pPr>
              <w:numPr>
                <w:ilvl w:val="0"/>
                <w:numId w:val="1"/>
              </w:numPr>
              <w:wordWrap w:val="0"/>
              <w:spacing w:line="360" w:lineRule="exact"/>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14:textFill>
                  <w14:solidFill>
                    <w14:schemeClr w14:val="tx1"/>
                  </w14:solidFill>
                </w14:textFill>
              </w:rPr>
              <w:t>每个巡展站点招募不少于2名科技志愿者，定期组织志愿者培训，开展展品维护、辅导讲解等服务，志愿者累计服务时长不少于60天。</w:t>
            </w:r>
          </w:p>
        </w:tc>
        <w:tc>
          <w:tcPr>
            <w:tcW w:w="1345" w:type="dxa"/>
            <w:noWrap/>
            <w:vAlign w:val="center"/>
          </w:tcPr>
          <w:p w14:paraId="5DD18296">
            <w:pPr>
              <w:wordWrap w:val="0"/>
              <w:spacing w:line="360" w:lineRule="exact"/>
              <w:jc w:val="center"/>
              <w:rPr>
                <w:rFonts w:hint="default" w:ascii="Times New Roman" w:hAnsi="Times New Roman" w:eastAsia="仿宋_GB2312" w:cs="仿宋_GB2312"/>
                <w:color w:val="000000" w:themeColor="text1"/>
                <w:kern w:val="0"/>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t>10分</w:t>
            </w:r>
          </w:p>
        </w:tc>
      </w:tr>
      <w:tr w14:paraId="05750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0" w:type="dxa"/>
            <w:vMerge w:val="continue"/>
            <w:noWrap/>
            <w:vAlign w:val="center"/>
          </w:tcPr>
          <w:p w14:paraId="3F047561">
            <w:pPr>
              <w:wordWrap w:val="0"/>
              <w:spacing w:line="360" w:lineRule="exact"/>
              <w:rPr>
                <w:rFonts w:ascii="Times New Roman" w:hAnsi="Times New Roman"/>
              </w:rPr>
            </w:pPr>
          </w:p>
        </w:tc>
        <w:tc>
          <w:tcPr>
            <w:tcW w:w="5645" w:type="dxa"/>
            <w:noWrap/>
            <w:vAlign w:val="center"/>
          </w:tcPr>
          <w:p w14:paraId="53AD95B2">
            <w:pPr>
              <w:numPr>
                <w:ilvl w:val="0"/>
                <w:numId w:val="1"/>
              </w:numPr>
              <w:wordWrap w:val="0"/>
              <w:spacing w:line="360" w:lineRule="exact"/>
              <w:ind w:left="0" w:leftChars="0" w:firstLine="0" w:firstLineChars="0"/>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14:textFill>
                  <w14:solidFill>
                    <w14:schemeClr w14:val="tx1"/>
                  </w14:solidFill>
                </w14:textFill>
              </w:rPr>
              <w:t>本级财政多渠道筹措并配套项目运行经费，保障项目顺利实施，平均每站项目运行经费不少于5万元。</w:t>
            </w:r>
          </w:p>
        </w:tc>
        <w:tc>
          <w:tcPr>
            <w:tcW w:w="1345" w:type="dxa"/>
            <w:noWrap/>
            <w:vAlign w:val="center"/>
          </w:tcPr>
          <w:p w14:paraId="6E687C3F">
            <w:pPr>
              <w:wordWrap w:val="0"/>
              <w:spacing w:line="360" w:lineRule="exact"/>
              <w:jc w:val="center"/>
              <w:rPr>
                <w:rFonts w:hint="default" w:ascii="Times New Roman" w:hAnsi="Times New Roman" w:eastAsia="仿宋_GB2312" w:cs="仿宋_GB2312"/>
                <w:color w:val="000000" w:themeColor="text1"/>
                <w:kern w:val="0"/>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t>20分</w:t>
            </w:r>
          </w:p>
        </w:tc>
      </w:tr>
      <w:tr w14:paraId="0B33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0" w:type="dxa"/>
            <w:vMerge w:val="restart"/>
            <w:noWrap/>
            <w:vAlign w:val="center"/>
          </w:tcPr>
          <w:p w14:paraId="38638172">
            <w:pPr>
              <w:wordWrap w:val="0"/>
              <w:spacing w:line="360" w:lineRule="exact"/>
              <w:jc w:val="center"/>
              <w:rPr>
                <w:rFonts w:ascii="Times New Roman" w:hAnsi="Times New Roman" w:eastAsia="仿宋_GB2312" w:cs="仿宋_GB2312"/>
                <w:color w:val="000000" w:themeColor="text1"/>
                <w:sz w:val="22"/>
                <w:szCs w:val="22"/>
                <w14:textFill>
                  <w14:solidFill>
                    <w14:schemeClr w14:val="tx1"/>
                  </w14:solidFill>
                </w14:textFill>
              </w:rPr>
            </w:pPr>
            <w:r>
              <w:rPr>
                <w:rFonts w:hint="eastAsia" w:ascii="Times New Roman" w:hAnsi="Times New Roman" w:eastAsia="仿宋_GB2312" w:cs="仿宋_GB2312"/>
                <w:color w:val="000000" w:themeColor="text1"/>
                <w:sz w:val="22"/>
                <w:szCs w:val="22"/>
                <w14:textFill>
                  <w14:solidFill>
                    <w14:schemeClr w14:val="tx1"/>
                  </w14:solidFill>
                </w14:textFill>
              </w:rPr>
              <w:t>组织实施</w:t>
            </w:r>
          </w:p>
          <w:p w14:paraId="70333009">
            <w:pPr>
              <w:wordWrap w:val="0"/>
              <w:spacing w:line="360" w:lineRule="exact"/>
              <w:jc w:val="center"/>
              <w:rPr>
                <w:rFonts w:hint="eastAsia" w:ascii="Times New Roman" w:hAnsi="Times New Roman" w:eastAsia="仿宋_GB2312" w:cs="仿宋_GB2312"/>
                <w:color w:val="000000" w:themeColor="text1"/>
                <w:sz w:val="22"/>
                <w:szCs w:val="22"/>
                <w:lang w:eastAsia="zh-CN"/>
                <w14:textFill>
                  <w14:solidFill>
                    <w14:schemeClr w14:val="tx1"/>
                  </w14:solidFill>
                </w14:textFill>
              </w:rPr>
            </w:pPr>
            <w:r>
              <w:rPr>
                <w:rFonts w:hint="eastAsia" w:ascii="Times New Roman" w:hAnsi="Times New Roman" w:eastAsia="仿宋_GB2312" w:cs="仿宋_GB2312"/>
                <w:color w:val="000000" w:themeColor="text1"/>
                <w:sz w:val="22"/>
                <w:szCs w:val="22"/>
                <w:lang w:eastAsia="zh-CN"/>
                <w14:textFill>
                  <w14:solidFill>
                    <w14:schemeClr w14:val="tx1"/>
                  </w14:solidFill>
                </w14:textFill>
              </w:rPr>
              <w:t>（</w:t>
            </w:r>
            <w:r>
              <w:rPr>
                <w:rFonts w:hint="eastAsia" w:ascii="Times New Roman" w:hAnsi="Times New Roman" w:eastAsia="仿宋_GB2312" w:cs="仿宋_GB2312"/>
                <w:color w:val="000000" w:themeColor="text1"/>
                <w:sz w:val="22"/>
                <w:szCs w:val="22"/>
                <w:lang w:val="en-US" w:eastAsia="zh-CN"/>
                <w14:textFill>
                  <w14:solidFill>
                    <w14:schemeClr w14:val="tx1"/>
                  </w14:solidFill>
                </w14:textFill>
              </w:rPr>
              <w:t>35分</w:t>
            </w:r>
            <w:r>
              <w:rPr>
                <w:rFonts w:hint="eastAsia" w:ascii="Times New Roman" w:hAnsi="Times New Roman" w:eastAsia="仿宋_GB2312" w:cs="仿宋_GB2312"/>
                <w:color w:val="000000" w:themeColor="text1"/>
                <w:sz w:val="22"/>
                <w:szCs w:val="22"/>
                <w:lang w:eastAsia="zh-CN"/>
                <w14:textFill>
                  <w14:solidFill>
                    <w14:schemeClr w14:val="tx1"/>
                  </w14:solidFill>
                </w14:textFill>
              </w:rPr>
              <w:t>）</w:t>
            </w:r>
          </w:p>
        </w:tc>
        <w:tc>
          <w:tcPr>
            <w:tcW w:w="5645" w:type="dxa"/>
            <w:noWrap/>
            <w:vAlign w:val="center"/>
          </w:tcPr>
          <w:p w14:paraId="198A4C6E">
            <w:pPr>
              <w:numPr>
                <w:ilvl w:val="0"/>
                <w:numId w:val="1"/>
              </w:numPr>
              <w:wordWrap w:val="0"/>
              <w:spacing w:line="360" w:lineRule="exact"/>
              <w:ind w:left="0" w:leftChars="0" w:firstLine="0" w:firstLineChars="0"/>
              <w:rPr>
                <w:rFonts w:ascii="Times New Roman" w:hAnsi="Times New Roman" w:eastAsia="仿宋_GB2312" w:cs="仿宋_GB2312"/>
                <w:color w:val="000000" w:themeColor="text1"/>
                <w:sz w:val="22"/>
                <w:szCs w:val="22"/>
                <w14:textFill>
                  <w14:solidFill>
                    <w14:schemeClr w14:val="tx1"/>
                  </w14:solidFill>
                </w14:textFill>
              </w:rPr>
            </w:pPr>
            <w:r>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t>常规巡展时间</w:t>
            </w:r>
            <w:r>
              <w:rPr>
                <w:rFonts w:hint="eastAsia" w:ascii="Times New Roman" w:hAnsi="Times New Roman" w:eastAsia="仿宋_GB2312" w:cs="仿宋_GB2312"/>
                <w:color w:val="000000" w:themeColor="text1"/>
                <w:kern w:val="0"/>
                <w:sz w:val="22"/>
                <w:szCs w:val="22"/>
                <w14:textFill>
                  <w14:solidFill>
                    <w14:schemeClr w14:val="tx1"/>
                  </w14:solidFill>
                </w14:textFill>
              </w:rPr>
              <w:t>每站展出不少于2个月</w:t>
            </w:r>
            <w:r>
              <w:rPr>
                <w:rFonts w:hint="eastAsia" w:ascii="Times New Roman" w:hAnsi="Times New Roman" w:eastAsia="仿宋_GB2312" w:cs="仿宋_GB2312"/>
                <w:color w:val="000000" w:themeColor="text1"/>
                <w:kern w:val="0"/>
                <w:sz w:val="22"/>
                <w:szCs w:val="22"/>
                <w:lang w:eastAsia="zh-CN"/>
                <w14:textFill>
                  <w14:solidFill>
                    <w14:schemeClr w14:val="tx1"/>
                  </w14:solidFill>
                </w14:textFill>
              </w:rPr>
              <w:t>；</w:t>
            </w:r>
            <w:r>
              <w:rPr>
                <w:rFonts w:hint="eastAsia" w:ascii="Times New Roman" w:hAnsi="Times New Roman" w:eastAsia="仿宋_GB2312" w:cs="仿宋_GB2312"/>
                <w:color w:val="000000" w:themeColor="text1"/>
                <w:sz w:val="22"/>
                <w:szCs w:val="22"/>
                <w:lang w:val="en-US" w:eastAsia="zh-CN"/>
                <w14:textFill>
                  <w14:solidFill>
                    <w14:schemeClr w14:val="tx1"/>
                  </w14:solidFill>
                </w14:textFill>
              </w:rPr>
              <w:t>区域换展</w:t>
            </w:r>
            <w:r>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t>巡展时间</w:t>
            </w:r>
            <w:r>
              <w:rPr>
                <w:rFonts w:hint="eastAsia" w:ascii="Times New Roman" w:hAnsi="Times New Roman" w:eastAsia="仿宋_GB2312" w:cs="仿宋_GB2312"/>
                <w:color w:val="000000" w:themeColor="text1"/>
                <w:sz w:val="22"/>
                <w:szCs w:val="22"/>
                <w14:textFill>
                  <w14:solidFill>
                    <w14:schemeClr w14:val="tx1"/>
                  </w14:solidFill>
                </w14:textFill>
              </w:rPr>
              <w:t>每站展出不少于</w:t>
            </w:r>
            <w:r>
              <w:rPr>
                <w:rFonts w:hint="eastAsia" w:ascii="Times New Roman" w:hAnsi="Times New Roman" w:eastAsia="仿宋_GB2312" w:cs="仿宋_GB2312"/>
                <w:color w:val="000000" w:themeColor="text1"/>
                <w:sz w:val="22"/>
                <w:szCs w:val="22"/>
                <w:lang w:val="en-US" w:eastAsia="zh-CN"/>
                <w14:textFill>
                  <w14:solidFill>
                    <w14:schemeClr w14:val="tx1"/>
                  </w14:solidFill>
                </w14:textFill>
              </w:rPr>
              <w:t>4</w:t>
            </w:r>
            <w:r>
              <w:rPr>
                <w:rFonts w:hint="eastAsia" w:ascii="Times New Roman" w:hAnsi="Times New Roman" w:eastAsia="仿宋_GB2312" w:cs="仿宋_GB2312"/>
                <w:color w:val="000000" w:themeColor="text1"/>
                <w:sz w:val="22"/>
                <w:szCs w:val="22"/>
                <w14:textFill>
                  <w14:solidFill>
                    <w14:schemeClr w14:val="tx1"/>
                  </w14:solidFill>
                </w14:textFill>
              </w:rPr>
              <w:t>个月</w:t>
            </w:r>
            <w:r>
              <w:rPr>
                <w:rFonts w:hint="eastAsia" w:ascii="Times New Roman" w:hAnsi="Times New Roman" w:eastAsia="仿宋_GB2312" w:cs="仿宋_GB2312"/>
                <w:color w:val="000000" w:themeColor="text1"/>
                <w:sz w:val="22"/>
                <w:szCs w:val="22"/>
                <w:lang w:eastAsia="zh-CN"/>
                <w14:textFill>
                  <w14:solidFill>
                    <w14:schemeClr w14:val="tx1"/>
                  </w14:solidFill>
                </w14:textFill>
              </w:rPr>
              <w:t>。</w:t>
            </w:r>
          </w:p>
        </w:tc>
        <w:tc>
          <w:tcPr>
            <w:tcW w:w="1345" w:type="dxa"/>
            <w:noWrap/>
            <w:vAlign w:val="center"/>
          </w:tcPr>
          <w:p w14:paraId="32DA6168">
            <w:pPr>
              <w:wordWrap w:val="0"/>
              <w:spacing w:line="360" w:lineRule="exact"/>
              <w:jc w:val="center"/>
              <w:rPr>
                <w:rFonts w:hint="default" w:ascii="Times New Roman" w:hAnsi="Times New Roman" w:eastAsia="仿宋_GB2312" w:cs="仿宋_GB2312"/>
                <w:color w:val="000000" w:themeColor="text1"/>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sz w:val="22"/>
                <w:szCs w:val="22"/>
                <w:lang w:val="en-US" w:eastAsia="zh-CN"/>
                <w14:textFill>
                  <w14:solidFill>
                    <w14:schemeClr w14:val="tx1"/>
                  </w14:solidFill>
                </w14:textFill>
              </w:rPr>
              <w:t>5分</w:t>
            </w:r>
          </w:p>
        </w:tc>
      </w:tr>
      <w:tr w14:paraId="7CDB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0" w:type="dxa"/>
            <w:vMerge w:val="continue"/>
            <w:noWrap/>
            <w:vAlign w:val="center"/>
          </w:tcPr>
          <w:p w14:paraId="714BE365">
            <w:pPr>
              <w:wordWrap w:val="0"/>
              <w:spacing w:line="360" w:lineRule="exact"/>
              <w:rPr>
                <w:rFonts w:ascii="Times New Roman" w:hAnsi="Times New Roman"/>
              </w:rPr>
            </w:pPr>
          </w:p>
        </w:tc>
        <w:tc>
          <w:tcPr>
            <w:tcW w:w="5645" w:type="dxa"/>
            <w:noWrap/>
            <w:vAlign w:val="center"/>
          </w:tcPr>
          <w:p w14:paraId="062C18EC">
            <w:pPr>
              <w:numPr>
                <w:ilvl w:val="0"/>
                <w:numId w:val="1"/>
              </w:numPr>
              <w:wordWrap w:val="0"/>
              <w:spacing w:line="360" w:lineRule="exact"/>
              <w:ind w:left="0" w:leftChars="0" w:firstLine="0" w:firstLineChars="0"/>
              <w:rPr>
                <w:rFonts w:hint="eastAsia" w:ascii="Times New Roman" w:hAnsi="Times New Roman" w:eastAsia="仿宋_GB2312" w:cs="仿宋_GB2312"/>
                <w:color w:val="000000" w:themeColor="text1"/>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t>常规巡展</w:t>
            </w:r>
            <w:r>
              <w:rPr>
                <w:rFonts w:hint="eastAsia" w:ascii="Times New Roman" w:hAnsi="Times New Roman" w:eastAsia="仿宋_GB2312" w:cs="仿宋_GB2312"/>
                <w:color w:val="000000" w:themeColor="text1"/>
                <w:sz w:val="22"/>
                <w:szCs w:val="22"/>
                <w14:textFill>
                  <w14:solidFill>
                    <w14:schemeClr w14:val="tx1"/>
                  </w14:solidFill>
                </w14:textFill>
              </w:rPr>
              <w:t>服务公众</w:t>
            </w:r>
            <w:r>
              <w:rPr>
                <w:rFonts w:hint="eastAsia" w:ascii="Times New Roman" w:hAnsi="Times New Roman" w:eastAsia="仿宋_GB2312" w:cs="仿宋_GB2312"/>
                <w:color w:val="000000" w:themeColor="text1"/>
                <w:kern w:val="0"/>
                <w:sz w:val="22"/>
                <w:szCs w:val="22"/>
                <w14:textFill>
                  <w14:solidFill>
                    <w14:schemeClr w14:val="tx1"/>
                  </w14:solidFill>
                </w14:textFill>
              </w:rPr>
              <w:t>不少于3万人次。</w:t>
            </w:r>
            <w:r>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t>区域</w:t>
            </w:r>
            <w:r>
              <w:rPr>
                <w:rFonts w:hint="eastAsia" w:ascii="Times New Roman" w:hAnsi="Times New Roman" w:eastAsia="仿宋_GB2312" w:cs="仿宋_GB2312"/>
                <w:color w:val="000000" w:themeColor="text1"/>
                <w:sz w:val="22"/>
                <w:szCs w:val="22"/>
                <w:lang w:val="en-US" w:eastAsia="zh-CN"/>
                <w14:textFill>
                  <w14:solidFill>
                    <w14:schemeClr w14:val="tx1"/>
                  </w14:solidFill>
                </w14:textFill>
              </w:rPr>
              <w:t>换展服务公众不少于5万人次。</w:t>
            </w:r>
          </w:p>
        </w:tc>
        <w:tc>
          <w:tcPr>
            <w:tcW w:w="1345" w:type="dxa"/>
            <w:noWrap/>
            <w:vAlign w:val="center"/>
          </w:tcPr>
          <w:p w14:paraId="61710EB7">
            <w:pPr>
              <w:wordWrap w:val="0"/>
              <w:spacing w:line="360" w:lineRule="exact"/>
              <w:jc w:val="center"/>
              <w:rPr>
                <w:rFonts w:hint="default" w:ascii="Times New Roman" w:hAnsi="Times New Roman" w:eastAsia="仿宋_GB2312" w:cs="仿宋_GB2312"/>
                <w:color w:val="000000" w:themeColor="text1"/>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sz w:val="22"/>
                <w:szCs w:val="22"/>
                <w:lang w:val="en-US" w:eastAsia="zh-CN"/>
                <w14:textFill>
                  <w14:solidFill>
                    <w14:schemeClr w14:val="tx1"/>
                  </w14:solidFill>
                </w14:textFill>
              </w:rPr>
              <w:t>10分</w:t>
            </w:r>
          </w:p>
        </w:tc>
      </w:tr>
      <w:tr w14:paraId="0DA5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100" w:type="dxa"/>
            <w:vMerge w:val="continue"/>
            <w:noWrap/>
            <w:vAlign w:val="center"/>
          </w:tcPr>
          <w:p w14:paraId="4F730114">
            <w:pPr>
              <w:wordWrap w:val="0"/>
              <w:spacing w:line="360" w:lineRule="exact"/>
              <w:rPr>
                <w:rFonts w:hint="eastAsia" w:ascii="Times New Roman" w:hAnsi="Times New Roman" w:eastAsia="仿宋_GB2312" w:cs="仿宋_GB2312"/>
                <w:color w:val="000000" w:themeColor="text1"/>
                <w:sz w:val="22"/>
                <w:szCs w:val="22"/>
                <w:lang w:val="en-US" w:eastAsia="zh-CN"/>
                <w14:textFill>
                  <w14:solidFill>
                    <w14:schemeClr w14:val="tx1"/>
                  </w14:solidFill>
                </w14:textFill>
              </w:rPr>
            </w:pPr>
          </w:p>
        </w:tc>
        <w:tc>
          <w:tcPr>
            <w:tcW w:w="5645" w:type="dxa"/>
            <w:noWrap/>
            <w:vAlign w:val="center"/>
          </w:tcPr>
          <w:p w14:paraId="5627A8AA">
            <w:pPr>
              <w:numPr>
                <w:ilvl w:val="0"/>
                <w:numId w:val="1"/>
              </w:numPr>
              <w:wordWrap w:val="0"/>
              <w:spacing w:line="360" w:lineRule="exact"/>
              <w:ind w:left="0" w:leftChars="0" w:firstLine="0" w:firstLineChars="0"/>
              <w:rPr>
                <w:rFonts w:hint="eastAsia" w:ascii="Times New Roman" w:hAnsi="Times New Roman" w:eastAsia="仿宋_GB2312" w:cs="仿宋_GB2312"/>
                <w:color w:val="000000" w:themeColor="text1"/>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14:textFill>
                  <w14:solidFill>
                    <w14:schemeClr w14:val="tx1"/>
                  </w14:solidFill>
                </w14:textFill>
              </w:rPr>
              <w:t>结合展览每天开展常规展教辅导活动、科学实验表演活动、线上科普教育活动等，活动形式多样有趣，内容丰富新颖，效果突出，公众反响热烈。</w:t>
            </w:r>
          </w:p>
        </w:tc>
        <w:tc>
          <w:tcPr>
            <w:tcW w:w="1345" w:type="dxa"/>
            <w:noWrap/>
            <w:vAlign w:val="center"/>
          </w:tcPr>
          <w:p w14:paraId="50A65328">
            <w:pPr>
              <w:wordWrap w:val="0"/>
              <w:spacing w:line="360" w:lineRule="exact"/>
              <w:jc w:val="center"/>
              <w:rPr>
                <w:rFonts w:hint="default" w:ascii="Times New Roman" w:hAnsi="Times New Roman" w:eastAsia="仿宋_GB2312" w:cs="仿宋_GB2312"/>
                <w:color w:val="000000" w:themeColor="text1"/>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sz w:val="22"/>
                <w:szCs w:val="22"/>
                <w:lang w:val="en-US" w:eastAsia="zh-CN"/>
                <w14:textFill>
                  <w14:solidFill>
                    <w14:schemeClr w14:val="tx1"/>
                  </w14:solidFill>
                </w14:textFill>
              </w:rPr>
              <w:t>5分</w:t>
            </w:r>
          </w:p>
        </w:tc>
      </w:tr>
      <w:tr w14:paraId="5322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100" w:type="dxa"/>
            <w:vMerge w:val="continue"/>
            <w:noWrap/>
            <w:vAlign w:val="center"/>
          </w:tcPr>
          <w:p w14:paraId="44D2F851">
            <w:pPr>
              <w:wordWrap w:val="0"/>
              <w:spacing w:line="360" w:lineRule="exact"/>
              <w:rPr>
                <w:rFonts w:hint="eastAsia" w:ascii="Times New Roman" w:hAnsi="Times New Roman" w:eastAsia="仿宋_GB2312" w:cs="仿宋_GB2312"/>
                <w:color w:val="000000" w:themeColor="text1"/>
                <w:sz w:val="22"/>
                <w:szCs w:val="22"/>
                <w:lang w:val="en-US" w:eastAsia="zh-CN"/>
                <w14:textFill>
                  <w14:solidFill>
                    <w14:schemeClr w14:val="tx1"/>
                  </w14:solidFill>
                </w14:textFill>
              </w:rPr>
            </w:pPr>
          </w:p>
        </w:tc>
        <w:tc>
          <w:tcPr>
            <w:tcW w:w="5645" w:type="dxa"/>
            <w:noWrap/>
            <w:vAlign w:val="center"/>
          </w:tcPr>
          <w:p w14:paraId="0E50CB70">
            <w:pPr>
              <w:numPr>
                <w:ilvl w:val="0"/>
                <w:numId w:val="1"/>
              </w:numPr>
              <w:wordWrap w:val="0"/>
              <w:spacing w:line="360" w:lineRule="exact"/>
              <w:ind w:left="0" w:leftChars="0" w:firstLine="0" w:firstLineChars="0"/>
              <w:rPr>
                <w:rFonts w:hint="eastAsia" w:ascii="Times New Roman" w:hAnsi="Times New Roman" w:eastAsia="仿宋_GB2312" w:cs="仿宋_GB2312"/>
                <w:color w:val="000000" w:themeColor="text1"/>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14:textFill>
                  <w14:solidFill>
                    <w14:schemeClr w14:val="tx1"/>
                  </w14:solidFill>
                </w14:textFill>
              </w:rPr>
              <w:t>积极联络地方教育部门、中小学校，探索建立馆校合作长效机制，充分利用流动科普资源优势面向学校开展服务，以资源进校和学生进馆的“双进”方式，助力推进“双减”工作。应为当地90%的中小学提供科学教育服务。</w:t>
            </w:r>
          </w:p>
        </w:tc>
        <w:tc>
          <w:tcPr>
            <w:tcW w:w="1345" w:type="dxa"/>
            <w:noWrap/>
            <w:vAlign w:val="center"/>
          </w:tcPr>
          <w:p w14:paraId="34EAABBD">
            <w:pPr>
              <w:wordWrap w:val="0"/>
              <w:spacing w:line="360" w:lineRule="exact"/>
              <w:jc w:val="center"/>
              <w:rPr>
                <w:rFonts w:hint="default" w:ascii="Times New Roman" w:hAnsi="Times New Roman" w:eastAsia="仿宋_GB2312" w:cs="仿宋_GB2312"/>
                <w:color w:val="000000" w:themeColor="text1"/>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sz w:val="22"/>
                <w:szCs w:val="22"/>
                <w:lang w:val="en-US" w:eastAsia="zh-CN"/>
                <w14:textFill>
                  <w14:solidFill>
                    <w14:schemeClr w14:val="tx1"/>
                  </w14:solidFill>
                </w14:textFill>
              </w:rPr>
              <w:t>5分</w:t>
            </w:r>
          </w:p>
        </w:tc>
      </w:tr>
      <w:tr w14:paraId="18562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100" w:type="dxa"/>
            <w:vMerge w:val="continue"/>
            <w:noWrap/>
            <w:vAlign w:val="center"/>
          </w:tcPr>
          <w:p w14:paraId="28F1D398">
            <w:pPr>
              <w:wordWrap w:val="0"/>
              <w:spacing w:line="360" w:lineRule="exact"/>
              <w:rPr>
                <w:rFonts w:hint="eastAsia" w:ascii="Times New Roman" w:hAnsi="Times New Roman" w:eastAsia="仿宋_GB2312" w:cs="仿宋_GB2312"/>
                <w:color w:val="000000" w:themeColor="text1"/>
                <w:sz w:val="22"/>
                <w:szCs w:val="22"/>
                <w:lang w:val="en-US" w:eastAsia="zh-CN"/>
                <w14:textFill>
                  <w14:solidFill>
                    <w14:schemeClr w14:val="tx1"/>
                  </w14:solidFill>
                </w14:textFill>
              </w:rPr>
            </w:pPr>
          </w:p>
        </w:tc>
        <w:tc>
          <w:tcPr>
            <w:tcW w:w="5645" w:type="dxa"/>
            <w:noWrap/>
            <w:vAlign w:val="center"/>
          </w:tcPr>
          <w:p w14:paraId="4DA2C0A6">
            <w:pPr>
              <w:numPr>
                <w:ilvl w:val="0"/>
                <w:numId w:val="1"/>
              </w:numPr>
              <w:wordWrap w:val="0"/>
              <w:spacing w:line="360" w:lineRule="exact"/>
              <w:ind w:left="0" w:leftChars="0" w:firstLine="0" w:firstLineChars="0"/>
              <w:rPr>
                <w:rFonts w:hint="eastAsia" w:ascii="Times New Roman" w:hAnsi="Times New Roman" w:eastAsia="仿宋_GB2312" w:cs="仿宋_GB2312"/>
                <w:color w:val="000000" w:themeColor="text1"/>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14:textFill>
                  <w14:solidFill>
                    <w14:schemeClr w14:val="tx1"/>
                  </w14:solidFill>
                </w14:textFill>
              </w:rPr>
              <w:t>各站点应制定详细的巡展计划，注重经验总结，提交本站点流动馆项目总结汇编材料（含视频材料），</w:t>
            </w:r>
            <w:r>
              <w:rPr>
                <w:rFonts w:hint="eastAsia" w:ascii="Times New Roman" w:hAnsi="Times New Roman" w:eastAsia="仿宋_GB2312" w:cs="仿宋_GB2312"/>
                <w:color w:val="000000" w:themeColor="text1"/>
                <w:sz w:val="22"/>
                <w:szCs w:val="22"/>
                <w14:textFill>
                  <w14:solidFill>
                    <w14:schemeClr w14:val="tx1"/>
                  </w14:solidFill>
                </w14:textFill>
              </w:rPr>
              <w:t>各站点巡展期间活动无安全事故。</w:t>
            </w:r>
          </w:p>
        </w:tc>
        <w:tc>
          <w:tcPr>
            <w:tcW w:w="1345" w:type="dxa"/>
            <w:noWrap/>
            <w:vAlign w:val="center"/>
          </w:tcPr>
          <w:p w14:paraId="55220337">
            <w:pPr>
              <w:wordWrap w:val="0"/>
              <w:spacing w:line="360" w:lineRule="exact"/>
              <w:jc w:val="center"/>
              <w:rPr>
                <w:rFonts w:hint="default" w:ascii="Times New Roman" w:hAnsi="Times New Roman" w:eastAsia="仿宋_GB2312" w:cs="仿宋_GB2312"/>
                <w:color w:val="000000" w:themeColor="text1"/>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sz w:val="22"/>
                <w:szCs w:val="22"/>
                <w:lang w:val="en-US" w:eastAsia="zh-CN"/>
                <w14:textFill>
                  <w14:solidFill>
                    <w14:schemeClr w14:val="tx1"/>
                  </w14:solidFill>
                </w14:textFill>
              </w:rPr>
              <w:t>10分</w:t>
            </w:r>
          </w:p>
        </w:tc>
      </w:tr>
      <w:tr w14:paraId="1F4E8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0" w:type="dxa"/>
            <w:vMerge w:val="restart"/>
            <w:noWrap/>
            <w:vAlign w:val="center"/>
          </w:tcPr>
          <w:p w14:paraId="4517C384">
            <w:pPr>
              <w:wordWrap w:val="0"/>
              <w:spacing w:line="360" w:lineRule="exact"/>
              <w:jc w:val="center"/>
              <w:rPr>
                <w:rFonts w:hint="eastAsia" w:ascii="Times New Roman" w:hAnsi="Times New Roman" w:eastAsia="仿宋_GB2312"/>
                <w:lang w:eastAsia="zh-CN"/>
              </w:rPr>
            </w:pPr>
            <w:r>
              <w:rPr>
                <w:rFonts w:hint="eastAsia" w:ascii="Times New Roman" w:hAnsi="Times New Roman"/>
              </w:rPr>
              <w:t>运行效果</w:t>
            </w:r>
            <w:r>
              <w:rPr>
                <w:rFonts w:hint="eastAsia" w:ascii="Times New Roman" w:hAnsi="Times New Roman" w:eastAsia="仿宋_GB2312" w:cs="仿宋_GB2312"/>
                <w:color w:val="000000" w:themeColor="text1"/>
                <w:kern w:val="2"/>
                <w:sz w:val="22"/>
                <w:szCs w:val="22"/>
                <w:lang w:val="en-US" w:eastAsia="zh-CN" w:bidi="ar-SA"/>
                <w14:textFill>
                  <w14:solidFill>
                    <w14:schemeClr w14:val="tx1"/>
                  </w14:solidFill>
                </w14:textFill>
              </w:rPr>
              <w:t>（35分）</w:t>
            </w:r>
          </w:p>
        </w:tc>
        <w:tc>
          <w:tcPr>
            <w:tcW w:w="5645" w:type="dxa"/>
            <w:noWrap/>
            <w:vAlign w:val="center"/>
          </w:tcPr>
          <w:p w14:paraId="77398E93">
            <w:pPr>
              <w:numPr>
                <w:ilvl w:val="0"/>
                <w:numId w:val="1"/>
              </w:numPr>
              <w:wordWrap w:val="0"/>
              <w:spacing w:line="360" w:lineRule="exact"/>
              <w:ind w:left="0" w:leftChars="0" w:firstLine="0" w:firstLineChars="0"/>
              <w:rPr>
                <w:rFonts w:hint="eastAsia" w:ascii="Times New Roman" w:hAnsi="Times New Roman" w:eastAsia="仿宋_GB2312" w:cs="仿宋_GB2312"/>
                <w:color w:val="000000" w:themeColor="text1"/>
                <w:sz w:val="22"/>
                <w:szCs w:val="22"/>
                <w:lang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14:textFill>
                  <w14:solidFill>
                    <w14:schemeClr w14:val="tx1"/>
                  </w14:solidFill>
                </w14:textFill>
              </w:rPr>
              <w:t>各巡展站点公众满意度调查有效调查问卷不少于100份，公众满意度不低于90%。</w:t>
            </w:r>
          </w:p>
        </w:tc>
        <w:tc>
          <w:tcPr>
            <w:tcW w:w="1345" w:type="dxa"/>
            <w:noWrap/>
            <w:vAlign w:val="center"/>
          </w:tcPr>
          <w:p w14:paraId="635B2ED4">
            <w:pPr>
              <w:wordWrap w:val="0"/>
              <w:spacing w:line="360" w:lineRule="exact"/>
              <w:jc w:val="center"/>
              <w:rPr>
                <w:rFonts w:hint="default" w:ascii="Times New Roman" w:hAnsi="Times New Roman" w:eastAsia="仿宋_GB2312" w:cs="仿宋_GB2312"/>
                <w:color w:val="000000" w:themeColor="text1"/>
                <w:kern w:val="0"/>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t>5分</w:t>
            </w:r>
          </w:p>
        </w:tc>
      </w:tr>
      <w:tr w14:paraId="5B491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1100" w:type="dxa"/>
            <w:vMerge w:val="continue"/>
            <w:noWrap/>
            <w:vAlign w:val="center"/>
          </w:tcPr>
          <w:p w14:paraId="245E8788">
            <w:pPr>
              <w:wordWrap w:val="0"/>
              <w:spacing w:line="360" w:lineRule="exact"/>
              <w:rPr>
                <w:rFonts w:ascii="Times New Roman" w:hAnsi="Times New Roman"/>
              </w:rPr>
            </w:pPr>
          </w:p>
        </w:tc>
        <w:tc>
          <w:tcPr>
            <w:tcW w:w="5645" w:type="dxa"/>
            <w:noWrap/>
            <w:vAlign w:val="center"/>
          </w:tcPr>
          <w:p w14:paraId="08258520">
            <w:pPr>
              <w:numPr>
                <w:ilvl w:val="0"/>
                <w:numId w:val="1"/>
              </w:numPr>
              <w:wordWrap w:val="0"/>
              <w:spacing w:line="360" w:lineRule="exact"/>
              <w:ind w:left="0" w:leftChars="0" w:firstLine="0" w:firstLineChars="0"/>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14:textFill>
                  <w14:solidFill>
                    <w14:schemeClr w14:val="tx1"/>
                  </w14:solidFill>
                </w14:textFill>
              </w:rPr>
              <w:t>积极邀请领导出席流动科技馆相关活动，邀请各级官方媒体或主流媒体平台对流动科技馆相关工作开展宣传报道。</w:t>
            </w:r>
          </w:p>
        </w:tc>
        <w:tc>
          <w:tcPr>
            <w:tcW w:w="1345" w:type="dxa"/>
            <w:noWrap/>
            <w:vAlign w:val="center"/>
          </w:tcPr>
          <w:p w14:paraId="3BA22C4E">
            <w:pPr>
              <w:wordWrap w:val="0"/>
              <w:spacing w:line="360" w:lineRule="exact"/>
              <w:jc w:val="center"/>
              <w:rPr>
                <w:rFonts w:hint="default" w:ascii="Times New Roman" w:hAnsi="Times New Roman" w:eastAsia="仿宋_GB2312" w:cs="仿宋_GB2312"/>
                <w:color w:val="000000" w:themeColor="text1"/>
                <w:kern w:val="0"/>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t>20分</w:t>
            </w:r>
          </w:p>
        </w:tc>
      </w:tr>
      <w:tr w14:paraId="5CDB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00" w:type="dxa"/>
            <w:vMerge w:val="continue"/>
            <w:noWrap/>
            <w:vAlign w:val="center"/>
          </w:tcPr>
          <w:p w14:paraId="36F6FA7E">
            <w:pPr>
              <w:wordWrap w:val="0"/>
              <w:spacing w:line="360" w:lineRule="exact"/>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pPr>
          </w:p>
        </w:tc>
        <w:tc>
          <w:tcPr>
            <w:tcW w:w="5645" w:type="dxa"/>
            <w:noWrap/>
            <w:vAlign w:val="center"/>
          </w:tcPr>
          <w:p w14:paraId="589C055C">
            <w:pPr>
              <w:numPr>
                <w:ilvl w:val="0"/>
                <w:numId w:val="1"/>
              </w:numPr>
              <w:wordWrap w:val="0"/>
              <w:spacing w:line="360" w:lineRule="exact"/>
              <w:ind w:left="0" w:leftChars="0" w:firstLine="0" w:firstLineChars="0"/>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14:textFill>
                  <w14:solidFill>
                    <w14:schemeClr w14:val="tx1"/>
                  </w14:solidFill>
                </w14:textFill>
              </w:rPr>
              <w:t>积极探索引入社会资源开展活动</w:t>
            </w:r>
            <w:r>
              <w:rPr>
                <w:rFonts w:hint="eastAsia" w:ascii="Times New Roman" w:hAnsi="Times New Roman" w:eastAsia="仿宋_GB2312" w:cs="仿宋_GB2312"/>
                <w:color w:val="000000" w:themeColor="text1"/>
                <w:kern w:val="0"/>
                <w:sz w:val="22"/>
                <w:szCs w:val="22"/>
                <w:lang w:eastAsia="zh-CN"/>
                <w14:textFill>
                  <w14:solidFill>
                    <w14:schemeClr w14:val="tx1"/>
                  </w14:solidFill>
                </w14:textFill>
              </w:rPr>
              <w:t>，</w:t>
            </w:r>
            <w:r>
              <w:rPr>
                <w:rFonts w:hint="eastAsia" w:ascii="Times New Roman" w:hAnsi="Times New Roman" w:eastAsia="仿宋_GB2312" w:cs="仿宋_GB2312"/>
                <w:color w:val="000000" w:themeColor="text1"/>
                <w:kern w:val="0"/>
                <w:sz w:val="22"/>
                <w:szCs w:val="22"/>
                <w14:textFill>
                  <w14:solidFill>
                    <w14:schemeClr w14:val="tx1"/>
                  </w14:solidFill>
                </w14:textFill>
              </w:rPr>
              <w:t>利用中国流动科技馆项目承担各项重大任务</w:t>
            </w:r>
            <w:r>
              <w:rPr>
                <w:rFonts w:hint="eastAsia" w:ascii="Times New Roman" w:hAnsi="Times New Roman" w:eastAsia="仿宋_GB2312" w:cs="仿宋_GB2312"/>
                <w:color w:val="000000" w:themeColor="text1"/>
                <w:kern w:val="0"/>
                <w:sz w:val="22"/>
                <w:szCs w:val="22"/>
                <w:lang w:eastAsia="zh-CN"/>
                <w14:textFill>
                  <w14:solidFill>
                    <w14:schemeClr w14:val="tx1"/>
                  </w14:solidFill>
                </w14:textFill>
              </w:rPr>
              <w:t>。</w:t>
            </w:r>
          </w:p>
        </w:tc>
        <w:tc>
          <w:tcPr>
            <w:tcW w:w="1345" w:type="dxa"/>
            <w:noWrap/>
            <w:vAlign w:val="center"/>
          </w:tcPr>
          <w:p w14:paraId="321C2B90">
            <w:pPr>
              <w:wordWrap w:val="0"/>
              <w:spacing w:line="360" w:lineRule="exact"/>
              <w:jc w:val="center"/>
              <w:rPr>
                <w:rFonts w:hint="default" w:ascii="Times New Roman" w:hAnsi="Times New Roman" w:eastAsia="仿宋_GB2312" w:cs="仿宋_GB2312"/>
                <w:color w:val="000000" w:themeColor="text1"/>
                <w:kern w:val="0"/>
                <w:sz w:val="22"/>
                <w:szCs w:val="22"/>
                <w:lang w:val="en-US" w:eastAsia="zh-CN"/>
                <w14:textFill>
                  <w14:solidFill>
                    <w14:schemeClr w14:val="tx1"/>
                  </w14:solidFill>
                </w14:textFill>
              </w:rPr>
            </w:pPr>
            <w:r>
              <w:rPr>
                <w:rFonts w:hint="eastAsia" w:ascii="Times New Roman" w:hAnsi="Times New Roman" w:eastAsia="仿宋_GB2312" w:cs="仿宋_GB2312"/>
                <w:color w:val="000000" w:themeColor="text1"/>
                <w:kern w:val="0"/>
                <w:sz w:val="22"/>
                <w:szCs w:val="22"/>
                <w:lang w:val="en-US" w:eastAsia="zh-CN"/>
                <w14:textFill>
                  <w14:solidFill>
                    <w14:schemeClr w14:val="tx1"/>
                  </w14:solidFill>
                </w14:textFill>
              </w:rPr>
              <w:t>10分</w:t>
            </w:r>
          </w:p>
        </w:tc>
      </w:tr>
    </w:tbl>
    <w:p w14:paraId="145F31EE">
      <w:pPr>
        <w:rPr>
          <w:rFonts w:hint="default" w:ascii="Times New Roman" w:hAnsi="Times New Roman"/>
          <w:lang w:val="en-US" w:eastAsia="zh-CN"/>
        </w:rPr>
      </w:pPr>
    </w:p>
    <w:sectPr>
      <w:footerReference r:id="rId3" w:type="default"/>
      <w:pgSz w:w="11906" w:h="16838"/>
      <w:pgMar w:top="1701" w:right="1474" w:bottom="1587" w:left="1474"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127CD">
    <w:pPr>
      <w:widowControl w:val="0"/>
      <w:snapToGrid w:val="0"/>
      <w:jc w:val="right"/>
      <w:rPr>
        <w:rFonts w:ascii="宋体" w:hAnsi="宋体" w:eastAsia="宋体" w:cs="Times New Roman"/>
        <w:kern w:val="2"/>
        <w:sz w:val="28"/>
        <w:szCs w:val="28"/>
        <w:lang w:val="en-US" w:eastAsia="zh-CN" w:bidi="ar-SA"/>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6D52C">
                          <w:pPr>
                            <w:widowControl w:val="0"/>
                            <w:snapToGrid w:val="0"/>
                            <w:jc w:val="right"/>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75</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036D52C">
                    <w:pPr>
                      <w:widowControl w:val="0"/>
                      <w:snapToGrid w:val="0"/>
                      <w:jc w:val="right"/>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75</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33FB39"/>
    <w:multiLevelType w:val="singleLevel"/>
    <w:tmpl w:val="6A33FB3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EF0417"/>
    <w:rsid w:val="00C6664C"/>
    <w:rsid w:val="01E01D0E"/>
    <w:rsid w:val="0370464D"/>
    <w:rsid w:val="042913CB"/>
    <w:rsid w:val="065A0DDD"/>
    <w:rsid w:val="065A2CEC"/>
    <w:rsid w:val="06C90210"/>
    <w:rsid w:val="07A32650"/>
    <w:rsid w:val="08A94889"/>
    <w:rsid w:val="09002C0C"/>
    <w:rsid w:val="09B51766"/>
    <w:rsid w:val="0A36214C"/>
    <w:rsid w:val="0A3D4A15"/>
    <w:rsid w:val="0A674B0B"/>
    <w:rsid w:val="0D136775"/>
    <w:rsid w:val="0DC52D99"/>
    <w:rsid w:val="0E251F45"/>
    <w:rsid w:val="0E7D3E28"/>
    <w:rsid w:val="0EFD148A"/>
    <w:rsid w:val="10797237"/>
    <w:rsid w:val="11710023"/>
    <w:rsid w:val="11B62513"/>
    <w:rsid w:val="127E22ED"/>
    <w:rsid w:val="12A247BD"/>
    <w:rsid w:val="13FD2E6B"/>
    <w:rsid w:val="146B158C"/>
    <w:rsid w:val="14A16D5C"/>
    <w:rsid w:val="15802EAC"/>
    <w:rsid w:val="158A63F2"/>
    <w:rsid w:val="16677B31"/>
    <w:rsid w:val="1AE004ED"/>
    <w:rsid w:val="1B373383"/>
    <w:rsid w:val="1C990E53"/>
    <w:rsid w:val="1CEF7F37"/>
    <w:rsid w:val="1DC43B10"/>
    <w:rsid w:val="1DEF0417"/>
    <w:rsid w:val="1E676920"/>
    <w:rsid w:val="1E933718"/>
    <w:rsid w:val="201C3760"/>
    <w:rsid w:val="209A23EA"/>
    <w:rsid w:val="211230DD"/>
    <w:rsid w:val="217A696B"/>
    <w:rsid w:val="2254540E"/>
    <w:rsid w:val="23750C4E"/>
    <w:rsid w:val="24227571"/>
    <w:rsid w:val="24387A79"/>
    <w:rsid w:val="266F6CBA"/>
    <w:rsid w:val="26B40B71"/>
    <w:rsid w:val="272B3024"/>
    <w:rsid w:val="27930786"/>
    <w:rsid w:val="28885C31"/>
    <w:rsid w:val="28A54C15"/>
    <w:rsid w:val="28C3292C"/>
    <w:rsid w:val="29826D04"/>
    <w:rsid w:val="2A375015"/>
    <w:rsid w:val="2AC31382"/>
    <w:rsid w:val="2B2F5E25"/>
    <w:rsid w:val="2B814519"/>
    <w:rsid w:val="2CAB24CE"/>
    <w:rsid w:val="2DB256DE"/>
    <w:rsid w:val="2DC1534A"/>
    <w:rsid w:val="2E100D83"/>
    <w:rsid w:val="2E9077CD"/>
    <w:rsid w:val="303D79E0"/>
    <w:rsid w:val="305B3745"/>
    <w:rsid w:val="31D67BED"/>
    <w:rsid w:val="3309737C"/>
    <w:rsid w:val="33484B1B"/>
    <w:rsid w:val="36080591"/>
    <w:rsid w:val="3D1A3AF9"/>
    <w:rsid w:val="3DD654F0"/>
    <w:rsid w:val="3F0B4A65"/>
    <w:rsid w:val="3FC714BD"/>
    <w:rsid w:val="40C1308E"/>
    <w:rsid w:val="41032081"/>
    <w:rsid w:val="41500847"/>
    <w:rsid w:val="42ED123B"/>
    <w:rsid w:val="42F0076D"/>
    <w:rsid w:val="4322216B"/>
    <w:rsid w:val="447F5A22"/>
    <w:rsid w:val="451232E0"/>
    <w:rsid w:val="45E5444B"/>
    <w:rsid w:val="46FE40C6"/>
    <w:rsid w:val="47855EE6"/>
    <w:rsid w:val="493C25D4"/>
    <w:rsid w:val="494616A5"/>
    <w:rsid w:val="4A47683B"/>
    <w:rsid w:val="4B685902"/>
    <w:rsid w:val="4CC64F56"/>
    <w:rsid w:val="4D3A5CC6"/>
    <w:rsid w:val="4F1D75D8"/>
    <w:rsid w:val="4FEC4A28"/>
    <w:rsid w:val="50212524"/>
    <w:rsid w:val="504862C3"/>
    <w:rsid w:val="512C2F2E"/>
    <w:rsid w:val="51976F1F"/>
    <w:rsid w:val="51D6733E"/>
    <w:rsid w:val="52902C3D"/>
    <w:rsid w:val="53410C6E"/>
    <w:rsid w:val="537209A5"/>
    <w:rsid w:val="53B6492A"/>
    <w:rsid w:val="54C0055D"/>
    <w:rsid w:val="55C40EC4"/>
    <w:rsid w:val="5641747C"/>
    <w:rsid w:val="5A971D60"/>
    <w:rsid w:val="5ADA0928"/>
    <w:rsid w:val="5B184523"/>
    <w:rsid w:val="5CA02E52"/>
    <w:rsid w:val="5D607E16"/>
    <w:rsid w:val="5E546DD1"/>
    <w:rsid w:val="5F8E1258"/>
    <w:rsid w:val="61AC3645"/>
    <w:rsid w:val="61F56BD7"/>
    <w:rsid w:val="61FC694D"/>
    <w:rsid w:val="62F6339C"/>
    <w:rsid w:val="63436BC4"/>
    <w:rsid w:val="63660521"/>
    <w:rsid w:val="63A459C3"/>
    <w:rsid w:val="64343F73"/>
    <w:rsid w:val="65861A1B"/>
    <w:rsid w:val="65DA0D53"/>
    <w:rsid w:val="686A69F8"/>
    <w:rsid w:val="68DE74FF"/>
    <w:rsid w:val="6945507D"/>
    <w:rsid w:val="697659E6"/>
    <w:rsid w:val="69C63808"/>
    <w:rsid w:val="6A8120E5"/>
    <w:rsid w:val="6B2500CF"/>
    <w:rsid w:val="6C361E65"/>
    <w:rsid w:val="6C450AD1"/>
    <w:rsid w:val="6D1E302E"/>
    <w:rsid w:val="6D3377BA"/>
    <w:rsid w:val="6D39548B"/>
    <w:rsid w:val="6DB427D1"/>
    <w:rsid w:val="6E922B12"/>
    <w:rsid w:val="6EA33813"/>
    <w:rsid w:val="70523715"/>
    <w:rsid w:val="70CE6496"/>
    <w:rsid w:val="716F0EE9"/>
    <w:rsid w:val="71A80522"/>
    <w:rsid w:val="74DB0643"/>
    <w:rsid w:val="752D5343"/>
    <w:rsid w:val="764F55D6"/>
    <w:rsid w:val="76D65566"/>
    <w:rsid w:val="76F874AF"/>
    <w:rsid w:val="77F45242"/>
    <w:rsid w:val="784F6586"/>
    <w:rsid w:val="78623556"/>
    <w:rsid w:val="78704389"/>
    <w:rsid w:val="787E6801"/>
    <w:rsid w:val="7A190923"/>
    <w:rsid w:val="7A92514B"/>
    <w:rsid w:val="7CB00608"/>
    <w:rsid w:val="7E891110"/>
    <w:rsid w:val="7F173D26"/>
    <w:rsid w:val="7FB56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line="560" w:lineRule="exact"/>
      <w:ind w:firstLine="420" w:firstLineChars="200"/>
      <w:jc w:val="both"/>
    </w:pPr>
    <w:rPr>
      <w:rFonts w:ascii="Calibri" w:hAnsi="Calibri" w:eastAsia="仿宋_GB2312" w:cs="黑体"/>
      <w:kern w:val="2"/>
      <w:sz w:val="28"/>
      <w:szCs w:val="22"/>
      <w:lang w:val="en-US" w:eastAsia="zh-CN" w:bidi="ar-SA"/>
    </w:rPr>
  </w:style>
  <w:style w:type="paragraph" w:styleId="3">
    <w:name w:val="Body Text Indent"/>
    <w:basedOn w:val="1"/>
    <w:qFormat/>
    <w:uiPriority w:val="0"/>
    <w:pPr>
      <w:widowControl w:val="0"/>
      <w:ind w:firstLine="555"/>
      <w:jc w:val="both"/>
    </w:pPr>
    <w:rPr>
      <w:rFonts w:ascii="仿宋_GB2312" w:hAnsi="Times New Roman" w:eastAsia="仿宋_GB2312" w:cs="Times New Roman"/>
      <w:kern w:val="2"/>
      <w:sz w:val="32"/>
      <w:szCs w:val="24"/>
      <w:lang w:val="en-US" w:eastAsia="zh-CN" w:bidi="ar-SA"/>
    </w:rPr>
  </w:style>
  <w:style w:type="paragraph" w:styleId="4">
    <w:name w:val="Body Text"/>
    <w:basedOn w:val="1"/>
    <w:next w:val="5"/>
    <w:unhideWhenUsed/>
    <w:qFormat/>
    <w:uiPriority w:val="99"/>
    <w:pPr>
      <w:widowControl w:val="0"/>
      <w:snapToGrid w:val="0"/>
      <w:spacing w:line="579" w:lineRule="exact"/>
      <w:jc w:val="both"/>
    </w:pPr>
    <w:rPr>
      <w:rFonts w:ascii="Calibri" w:hAnsi="Calibri" w:eastAsia="仿宋_GB2312" w:cs="Times New Roman"/>
      <w:kern w:val="2"/>
      <w:sz w:val="32"/>
      <w:szCs w:val="20"/>
      <w:lang w:val="en-US" w:eastAsia="zh-CN" w:bidi="ar-SA"/>
    </w:rPr>
  </w:style>
  <w:style w:type="paragraph" w:styleId="5">
    <w:name w:val="footer"/>
    <w:basedOn w:val="1"/>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6">
    <w:name w:val="toc 5"/>
    <w:next w:val="1"/>
    <w:qFormat/>
    <w:uiPriority w:val="0"/>
    <w:pPr>
      <w:widowControl w:val="0"/>
      <w:ind w:left="1680" w:leftChars="800"/>
      <w:jc w:val="both"/>
    </w:pPr>
    <w:rPr>
      <w:rFonts w:ascii="等线" w:hAnsi="等线" w:eastAsia="等线" w:cs="Times New Roman"/>
      <w:kern w:val="2"/>
      <w:sz w:val="21"/>
      <w:szCs w:val="24"/>
      <w:lang w:val="en-US" w:eastAsia="zh-CN" w:bidi="ar-SA"/>
    </w:rPr>
  </w:style>
  <w:style w:type="paragraph" w:styleId="7">
    <w:name w:val="Balloon Text"/>
    <w:unhideWhenUsed/>
    <w:qFormat/>
    <w:uiPriority w:val="99"/>
    <w:pPr>
      <w:widowControl w:val="0"/>
      <w:jc w:val="both"/>
    </w:pPr>
    <w:rPr>
      <w:rFonts w:ascii="Times New Roman" w:hAnsi="Times New Roman" w:eastAsia="宋体" w:cs="Times New Roman"/>
      <w:kern w:val="2"/>
      <w:sz w:val="18"/>
      <w:szCs w:val="18"/>
      <w:lang w:val="en-US" w:eastAsia="zh-CN" w:bidi="ar-SA"/>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qFormat/>
    <w:uiPriority w:val="0"/>
    <w:pPr>
      <w:widowControl w:val="0"/>
      <w:spacing w:before="100" w:beforeAutospacing="1" w:after="100" w:afterAutospacing="1"/>
      <w:jc w:val="left"/>
    </w:pPr>
    <w:rPr>
      <w:rFonts w:ascii="Calibri" w:hAnsi="Calibri" w:eastAsia="宋体" w:cs="Times New Roman"/>
      <w:kern w:val="0"/>
      <w:sz w:val="24"/>
      <w:szCs w:val="24"/>
      <w:lang w:val="en-US" w:eastAsia="zh-CN" w:bidi="ar-SA"/>
    </w:rPr>
  </w:style>
  <w:style w:type="character" w:styleId="12">
    <w:name w:val="Strong"/>
    <w:qFormat/>
    <w:uiPriority w:val="0"/>
    <w:rPr>
      <w:b/>
    </w:rPr>
  </w:style>
  <w:style w:type="paragraph" w:customStyle="1" w:styleId="13">
    <w:name w:val="正文文字"/>
    <w:next w:val="1"/>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14">
    <w:name w:val="WPSOffice手动目录 1"/>
    <w:qFormat/>
    <w:uiPriority w:val="0"/>
    <w:pPr>
      <w:ind w:leftChars="0"/>
    </w:pPr>
    <w:rPr>
      <w:rFonts w:asciiTheme="minorHAnsi" w:hAnsiTheme="minorHAnsi" w:eastAsiaTheme="minorEastAsia" w:cstheme="minorBidi"/>
      <w:sz w:val="20"/>
      <w:szCs w:val="20"/>
    </w:rPr>
  </w:style>
  <w:style w:type="paragraph" w:customStyle="1" w:styleId="15">
    <w:name w:val="WPSOffice手动目录 2"/>
    <w:qFormat/>
    <w:uiPriority w:val="0"/>
    <w:pPr>
      <w:ind w:leftChars="200"/>
    </w:pPr>
    <w:rPr>
      <w:rFonts w:asciiTheme="minorHAnsi" w:hAnsiTheme="minorHAnsi" w:eastAsiaTheme="minorEastAsia" w:cstheme="minorBidi"/>
      <w:sz w:val="20"/>
      <w:szCs w:val="20"/>
    </w:rPr>
  </w:style>
  <w:style w:type="paragraph" w:customStyle="1" w:styleId="16">
    <w:name w:val="WPSOffice手动目录 3"/>
    <w:qFormat/>
    <w:uiPriority w:val="0"/>
    <w:pPr>
      <w:ind w:leftChars="400"/>
    </w:pPr>
    <w:rPr>
      <w:rFonts w:asciiTheme="minorHAnsi" w:hAnsiTheme="minorHAnsi" w:eastAsiaTheme="minorEastAsia" w:cstheme="minorBidi"/>
      <w:sz w:val="20"/>
      <w:szCs w:val="20"/>
    </w:rPr>
  </w:style>
  <w:style w:type="paragraph" w:styleId="17">
    <w:name w:val="List Paragraph"/>
    <w:qFormat/>
    <w:uiPriority w:val="34"/>
    <w:pPr>
      <w:widowControl w:val="0"/>
      <w:ind w:firstLine="420" w:firstLineChars="200"/>
      <w:jc w:val="both"/>
    </w:pPr>
    <w:rPr>
      <w:rFonts w:ascii="Times New Roman" w:hAnsi="Times New Roman" w:eastAsia="宋体" w:cs="Times New Roman"/>
      <w:kern w:val="2"/>
      <w:sz w:val="21"/>
      <w:szCs w:val="20"/>
      <w:lang w:val="en-US" w:eastAsia="zh-CN" w:bidi="ar-SA"/>
    </w:rPr>
  </w:style>
  <w:style w:type="character" w:customStyle="1" w:styleId="18">
    <w:name w:val="hei141"/>
    <w:qFormat/>
    <w:uiPriority w:val="0"/>
    <w:rPr>
      <w:rFonts w:hint="default" w:ascii="Times New Roman" w:hAnsi="Times New Roman" w:cs="Times New Roman"/>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保税区</Company>
  <Pages>3</Pages>
  <Words>1299</Words>
  <Characters>1345</Characters>
  <Lines>0</Lines>
  <Paragraphs>0</Paragraphs>
  <TotalTime>1</TotalTime>
  <ScaleCrop>false</ScaleCrop>
  <LinksUpToDate>false</LinksUpToDate>
  <CharactersWithSpaces>1347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2026-02-02T01:14:00Z</dcterms:created>
  <dc:creator>WPS_1687744451</dc:creator>
  <cp:lastModifiedBy>刘赵为</cp:lastModifiedBy>
  <cp:lastPrinted>2026-03-05T07:24:00Z</cp:lastPrinted>
  <dcterms:modified xsi:type="dcterms:W3CDTF">2026-03-17T01:54:17Z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7DD3C34218B441AC9942909D11231D0E_13</vt:lpwstr>
  </property>
  <property fmtid="{D5CDD505-2E9C-101B-9397-08002B2CF9AE}" pid="4" name="KSOTemplateDocerSaveRecord">
    <vt:lpwstr>eyJoZGlkIjoiMDRjYjU4MDQ5NTVmNGZmYTI1ZmU4OGNkMzNkNTk2NWMiLCJ1c2VySWQiOiI3ODEzNjE4NjcifQ==</vt:lpwstr>
  </property>
</Properties>
</file>