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5CA2D">
      <w:pPr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40EDA32D">
      <w:pPr>
        <w:rPr>
          <w:rFonts w:hint="eastAsia"/>
          <w:lang w:val="en-US" w:eastAsia="zh-CN"/>
        </w:rPr>
      </w:pPr>
    </w:p>
    <w:p w14:paraId="0B8CF76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湖南省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教育厅科学研究项目一般项目</w:t>
      </w:r>
    </w:p>
    <w:p w14:paraId="11E45A70">
      <w:pPr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2025年度课题指南 湖南女子学院</w:t>
      </w:r>
    </w:p>
    <w:p w14:paraId="1A93E4CC">
      <w:pPr>
        <w:rPr>
          <w:rFonts w:hint="default"/>
          <w:lang w:val="en-US" w:eastAsia="zh-CN"/>
        </w:rPr>
      </w:pPr>
    </w:p>
    <w:p w14:paraId="2A413179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2B60958D"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申</w:t>
      </w:r>
      <w:r>
        <w:rPr>
          <w:rFonts w:hint="eastAsia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报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人</w:t>
      </w: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研究根据自身符合课题指南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/>
        </w:rPr>
        <w:t>自身的研究基础和优势，确定研究题目，以提高研究的针对性与实效性。</w:t>
      </w:r>
    </w:p>
    <w:p w14:paraId="6799C1AE">
      <w:pPr>
        <w:numPr>
          <w:ilvl w:val="0"/>
          <w:numId w:val="1"/>
        </w:numPr>
        <w:ind w:left="420" w:leftChars="0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数智时代社会工作参与基层信访治理的实践有效性研究</w:t>
      </w:r>
    </w:p>
    <w:p w14:paraId="41892769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从群众工作到党的社会工作：延安时期以来我党基层治理实践的历史演进与当代启示研究</w:t>
      </w:r>
    </w:p>
    <w:p w14:paraId="3C5ACB05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新时代未成年人救助保护联动机制研究</w:t>
      </w:r>
    </w:p>
    <w:p w14:paraId="10E17EE4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AI大模型在老年健康管理与服务中的应用研究</w:t>
      </w:r>
    </w:p>
    <w:p w14:paraId="18ADDFF9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数字赋能农村老年人健康服务模式构建及应用研究</w:t>
      </w:r>
    </w:p>
    <w:p w14:paraId="32842D6E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女性旅游消费行为与体验优化研究：基于湖南文旅融合场景的实证分析</w:t>
      </w:r>
    </w:p>
    <w:p w14:paraId="05FED7E5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乡村振兴战略下女性旅游创业者的成长路径与赋能机制研究——以湖南地区为例</w:t>
      </w:r>
    </w:p>
    <w:p w14:paraId="72B5BFA3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数智化赋能旅游目的地业态创新研究</w:t>
      </w:r>
    </w:p>
    <w:p w14:paraId="49D78080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文旅融合赋能乡村全面振兴的路径与机制研究</w:t>
      </w:r>
    </w:p>
    <w:p w14:paraId="487CC3BA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数字化转型中乡村旅游公共文化服务创新发展研究</w:t>
      </w:r>
    </w:p>
    <w:p w14:paraId="3A27435E">
      <w:pPr>
        <w:numPr>
          <w:ilvl w:val="0"/>
          <w:numId w:val="1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AI赋能红色礼仪文化建设研究</w:t>
      </w:r>
    </w:p>
    <w:p w14:paraId="18B75C06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“强省会”战略下长沙城市形象的影视叙事与传播策略研究</w:t>
      </w:r>
    </w:p>
    <w:p w14:paraId="0201BDBC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13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湖湘文化的国际传播</w:t>
      </w:r>
    </w:p>
    <w:p w14:paraId="5F8495F0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数智时代湖湘非遗国际短视频传播的优化策略研究</w:t>
      </w:r>
    </w:p>
    <w:p w14:paraId="114830F1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后媒介语境下主流媒体影像审美范式研究</w:t>
      </w:r>
    </w:p>
    <w:p w14:paraId="1FAC35EB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 w:bidi="ar-SA"/>
        </w:rPr>
        <w:t>16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-SA"/>
        </w:rPr>
        <w:t>.</w:t>
      </w:r>
      <w:r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  <w:t>人工智能技术在湖南文旅内容生产中的应用研究</w:t>
      </w:r>
    </w:p>
    <w:p w14:paraId="0E8F3349">
      <w:pPr>
        <w:numPr>
          <w:ilvl w:val="0"/>
          <w:numId w:val="0"/>
        </w:numPr>
        <w:ind w:left="420" w:leftChars="0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17.湖湘女红技艺在现代服饰配饰中的创新设计与应用研究</w:t>
      </w:r>
    </w:p>
    <w:p w14:paraId="1C271A44">
      <w:pPr>
        <w:numPr>
          <w:ilvl w:val="0"/>
          <w:numId w:val="0"/>
        </w:numPr>
        <w:ind w:left="420" w:leftChars="0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18.传统女红技艺数字化创新与现代时尚设计应用研究</w:t>
      </w:r>
    </w:p>
    <w:p w14:paraId="136E83B6">
      <w:pPr>
        <w:numPr>
          <w:ilvl w:val="0"/>
          <w:numId w:val="0"/>
        </w:numPr>
        <w:ind w:left="420" w:leftChars="0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19.湖湘少数民族传统纹样基因识别与创新设计研究</w:t>
      </w:r>
    </w:p>
    <w:p w14:paraId="5AA61F6E">
      <w:pPr>
        <w:numPr>
          <w:ilvl w:val="0"/>
          <w:numId w:val="0"/>
        </w:numPr>
        <w:ind w:left="420" w:leftChars="0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20.数智时代湖湘非遗创新设计策略与传播研究</w:t>
      </w:r>
    </w:p>
    <w:p w14:paraId="713F6A6A">
      <w:pPr>
        <w:numPr>
          <w:ilvl w:val="0"/>
          <w:numId w:val="0"/>
        </w:numPr>
        <w:ind w:left="420" w:leftChars="0"/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21.数字+文旅背景下下湖湘非遗文化的体验式推广设计研究</w:t>
      </w:r>
    </w:p>
    <w:p w14:paraId="6EB778E0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000000"/>
          <w:kern w:val="0"/>
          <w:sz w:val="32"/>
          <w:szCs w:val="32"/>
          <w:lang w:val="en-US" w:eastAsia="zh-CN"/>
        </w:rPr>
        <w:t>22.人工智能背景下湖湘非遗文化创新设计研究</w:t>
      </w:r>
    </w:p>
    <w:p w14:paraId="1607A9CB">
      <w:pPr>
        <w:numPr>
          <w:ilvl w:val="0"/>
          <w:numId w:val="0"/>
        </w:numPr>
        <w:ind w:left="420" w:leftChars="0"/>
        <w:rPr>
          <w:rFonts w:hint="default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p w14:paraId="18B42807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1BBDC"/>
    <w:multiLevelType w:val="singleLevel"/>
    <w:tmpl w:val="52F1BBDC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9754E"/>
    <w:rsid w:val="301A386E"/>
    <w:rsid w:val="4BF37D83"/>
    <w:rsid w:val="69407A67"/>
    <w:rsid w:val="74356371"/>
    <w:rsid w:val="74E4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440</Words>
  <Characters>457</Characters>
  <Lines>0</Lines>
  <Paragraphs>0</Paragraphs>
  <TotalTime>17</TotalTime>
  <ScaleCrop>false</ScaleCrop>
  <LinksUpToDate>false</LinksUpToDate>
  <CharactersWithSpaces>458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2025-11-05T06:54:00Z</dcterms:created>
  <dc:creator>Administrator</dc:creator>
  <cp:lastModifiedBy>刘赵为</cp:lastModifiedBy>
  <cp:lastPrinted>2025-11-05T07:05:00Z</cp:lastPrinted>
  <dcterms:modified xsi:type="dcterms:W3CDTF">2025-11-06T00:09:02Z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eyJoZGlkIjoiMDRjYjU4MDQ5NTVmNGZmYTI1ZmU4OGNkMzNkNTk2NWMiLCJ1c2VySWQiOiI3ODEzNjE4NjcifQ==</vt:lpwstr>
  </property>
  <property fmtid="{D5CDD505-2E9C-101B-9397-08002B2CF9AE}" pid="4" name="ICV">
    <vt:lpwstr>C11DF2A5DABD44CCBD6F432D31FDA06A_12</vt:lpwstr>
  </property>
</Properties>
</file>