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B37C8">
      <w:pPr>
        <w:bidi w:val="0"/>
        <w:rPr>
          <w:rFonts w:hint="eastAsia"/>
          <w:color w:val="auto"/>
          <w:lang w:val="en-US" w:eastAsia="zh-CN"/>
        </w:rPr>
      </w:pPr>
    </w:p>
    <w:p w14:paraId="0EB09A6E">
      <w:pPr>
        <w:bidi w:val="0"/>
        <w:rPr>
          <w:rFonts w:hint="eastAsia"/>
          <w:color w:val="auto"/>
          <w:lang w:val="en-US" w:eastAsia="zh-CN"/>
        </w:rPr>
      </w:pPr>
      <w:r>
        <w:rPr>
          <w:color w:val="auto"/>
        </w:rPr>
        <w:drawing>
          <wp:inline distT="0" distB="0" distL="114300" distR="114300">
            <wp:extent cx="2726055" cy="560705"/>
            <wp:effectExtent l="0" t="0" r="0" b="127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9"/>
                    <a:stretch>
                      <a:fillRect/>
                    </a:stretch>
                  </pic:blipFill>
                  <pic:spPr>
                    <a:xfrm>
                      <a:off x="0" y="0"/>
                      <a:ext cx="2726055" cy="560705"/>
                    </a:xfrm>
                    <a:prstGeom prst="rect">
                      <a:avLst/>
                    </a:prstGeom>
                    <a:noFill/>
                    <a:ln>
                      <a:noFill/>
                    </a:ln>
                  </pic:spPr>
                </pic:pic>
              </a:graphicData>
            </a:graphic>
          </wp:inline>
        </w:drawing>
      </w:r>
    </w:p>
    <w:p w14:paraId="77B80455">
      <w:pPr>
        <w:bidi w:val="0"/>
        <w:jc w:val="center"/>
        <w:rPr>
          <w:rFonts w:hint="eastAsia"/>
          <w:b/>
          <w:bCs/>
          <w:color w:val="auto"/>
          <w:sz w:val="84"/>
          <w:szCs w:val="84"/>
          <w:lang w:val="en-US" w:eastAsia="zh-CN"/>
        </w:rPr>
      </w:pPr>
    </w:p>
    <w:p w14:paraId="4F916995">
      <w:pPr>
        <w:bidi w:val="0"/>
        <w:jc w:val="center"/>
        <w:rPr>
          <w:rFonts w:hint="eastAsia"/>
          <w:b/>
          <w:bCs/>
          <w:color w:val="auto"/>
          <w:sz w:val="84"/>
          <w:szCs w:val="84"/>
          <w:lang w:val="en-US" w:eastAsia="zh-CN"/>
        </w:rPr>
      </w:pPr>
    </w:p>
    <w:p w14:paraId="710453EF">
      <w:pPr>
        <w:bidi w:val="0"/>
        <w:jc w:val="center"/>
        <w:outlineLvl w:val="9"/>
        <w:rPr>
          <w:rFonts w:hint="eastAsia" w:ascii="宋体" w:hAnsi="宋体" w:eastAsia="宋体" w:cs="宋体"/>
          <w:b/>
          <w:bCs/>
          <w:color w:val="auto"/>
          <w:sz w:val="84"/>
          <w:szCs w:val="84"/>
          <w:lang w:val="en-US" w:eastAsia="zh-CN"/>
        </w:rPr>
      </w:pPr>
      <w:r>
        <w:rPr>
          <w:rFonts w:hint="eastAsia" w:ascii="宋体" w:hAnsi="宋体" w:eastAsia="宋体" w:cs="宋体"/>
          <w:b/>
          <w:bCs/>
          <w:color w:val="auto"/>
          <w:sz w:val="84"/>
          <w:szCs w:val="84"/>
          <w:lang w:val="en-US" w:eastAsia="zh-CN"/>
        </w:rPr>
        <w:t>体育部</w:t>
      </w:r>
    </w:p>
    <w:p w14:paraId="2F73F2C6">
      <w:pPr>
        <w:bidi w:val="0"/>
        <w:jc w:val="center"/>
        <w:outlineLvl w:val="9"/>
        <w:rPr>
          <w:rFonts w:hint="eastAsia" w:ascii="宋体" w:hAnsi="宋体" w:eastAsia="宋体" w:cs="宋体"/>
          <w:color w:val="auto"/>
          <w:sz w:val="84"/>
          <w:szCs w:val="84"/>
          <w:lang w:val="en-US" w:eastAsia="zh-CN"/>
        </w:rPr>
      </w:pPr>
      <w:bookmarkStart w:id="33" w:name="_GoBack"/>
      <w:bookmarkEnd w:id="33"/>
    </w:p>
    <w:p w14:paraId="097F92F9">
      <w:pPr>
        <w:bidi w:val="0"/>
        <w:jc w:val="center"/>
        <w:outlineLvl w:val="9"/>
        <w:rPr>
          <w:rFonts w:hint="eastAsia" w:ascii="宋体" w:hAnsi="宋体" w:eastAsia="宋体" w:cs="宋体"/>
          <w:b/>
          <w:bCs/>
          <w:color w:val="auto"/>
          <w:sz w:val="84"/>
          <w:szCs w:val="84"/>
          <w:lang w:val="en-US" w:eastAsia="zh-CN"/>
        </w:rPr>
      </w:pPr>
      <w:r>
        <w:rPr>
          <w:rFonts w:hint="eastAsia" w:ascii="宋体" w:hAnsi="宋体" w:eastAsia="宋体" w:cs="宋体"/>
          <w:b/>
          <w:bCs/>
          <w:color w:val="auto"/>
          <w:sz w:val="84"/>
          <w:szCs w:val="84"/>
          <w:lang w:val="en-US" w:eastAsia="zh-CN"/>
        </w:rPr>
        <w:t>教学管理制度汇编</w:t>
      </w:r>
    </w:p>
    <w:p w14:paraId="6707EB5E">
      <w:pPr>
        <w:bidi w:val="0"/>
        <w:rPr>
          <w:rFonts w:hint="eastAsia"/>
          <w:color w:val="auto"/>
          <w:lang w:val="en-US" w:eastAsia="zh-CN"/>
        </w:rPr>
      </w:pPr>
    </w:p>
    <w:p w14:paraId="30895D8E">
      <w:pPr>
        <w:bidi w:val="0"/>
        <w:rPr>
          <w:rFonts w:hint="eastAsia"/>
          <w:color w:val="auto"/>
          <w:lang w:val="en-US" w:eastAsia="zh-CN"/>
        </w:rPr>
      </w:pPr>
    </w:p>
    <w:p w14:paraId="01D29F6A">
      <w:pPr>
        <w:bidi w:val="0"/>
        <w:rPr>
          <w:rFonts w:hint="eastAsia"/>
          <w:color w:val="auto"/>
          <w:lang w:val="en-US" w:eastAsia="zh-CN"/>
        </w:rPr>
      </w:pPr>
    </w:p>
    <w:p w14:paraId="79081B10">
      <w:pPr>
        <w:bidi w:val="0"/>
        <w:rPr>
          <w:rFonts w:hint="eastAsia"/>
          <w:color w:val="auto"/>
          <w:lang w:val="en-US" w:eastAsia="zh-CN"/>
        </w:rPr>
      </w:pPr>
    </w:p>
    <w:p w14:paraId="174E2953">
      <w:pPr>
        <w:bidi w:val="0"/>
        <w:rPr>
          <w:rFonts w:hint="eastAsia"/>
          <w:color w:val="auto"/>
          <w:lang w:val="en-US" w:eastAsia="zh-CN"/>
        </w:rPr>
      </w:pPr>
    </w:p>
    <w:p w14:paraId="667CC567">
      <w:pPr>
        <w:bidi w:val="0"/>
        <w:rPr>
          <w:rFonts w:hint="eastAsia"/>
          <w:color w:val="auto"/>
          <w:lang w:val="en-US" w:eastAsia="zh-CN"/>
        </w:rPr>
      </w:pPr>
    </w:p>
    <w:p w14:paraId="40728050">
      <w:pPr>
        <w:bidi w:val="0"/>
        <w:rPr>
          <w:rFonts w:hint="eastAsia"/>
          <w:color w:val="auto"/>
          <w:lang w:val="en-US" w:eastAsia="zh-CN"/>
        </w:rPr>
      </w:pPr>
    </w:p>
    <w:p w14:paraId="54312763">
      <w:pPr>
        <w:jc w:val="center"/>
        <w:rPr>
          <w:rFonts w:hint="default" w:ascii="Times New Roman" w:hAnsi="Times New Roman" w:cs="Times New Roman"/>
          <w:b/>
          <w:bCs/>
          <w:color w:val="auto"/>
          <w:sz w:val="52"/>
          <w:szCs w:val="52"/>
          <w:lang w:val="en-US" w:eastAsia="zh-CN"/>
        </w:rPr>
      </w:pPr>
    </w:p>
    <w:p w14:paraId="49B38EA7">
      <w:pPr>
        <w:jc w:val="center"/>
        <w:rPr>
          <w:rFonts w:hint="default" w:ascii="Times New Roman" w:hAnsi="Times New Roman" w:cs="Times New Roman"/>
          <w:b/>
          <w:bCs/>
          <w:color w:val="auto"/>
          <w:sz w:val="52"/>
          <w:szCs w:val="52"/>
          <w:lang w:val="en-US" w:eastAsia="zh-CN"/>
        </w:rPr>
      </w:pPr>
    </w:p>
    <w:p w14:paraId="66E3F27D">
      <w:pPr>
        <w:jc w:val="center"/>
        <w:rPr>
          <w:rFonts w:hint="default" w:ascii="Times New Roman" w:hAnsi="Times New Roman" w:cs="Times New Roman"/>
          <w:b/>
          <w:bCs/>
          <w:color w:val="auto"/>
          <w:sz w:val="52"/>
          <w:szCs w:val="52"/>
          <w:lang w:val="en-US" w:eastAsia="zh-CN"/>
        </w:rPr>
      </w:pPr>
    </w:p>
    <w:p w14:paraId="6B05EEAE">
      <w:pPr>
        <w:jc w:val="center"/>
        <w:rPr>
          <w:rFonts w:hint="default" w:ascii="Times New Roman" w:hAnsi="Times New Roman" w:cs="Times New Roman"/>
          <w:b/>
          <w:bCs/>
          <w:color w:val="auto"/>
          <w:sz w:val="52"/>
          <w:szCs w:val="52"/>
          <w:lang w:val="en-US" w:eastAsia="zh-CN"/>
        </w:rPr>
      </w:pPr>
      <w:r>
        <w:rPr>
          <w:rFonts w:hint="default" w:ascii="Times New Roman" w:hAnsi="Times New Roman" w:cs="Times New Roman"/>
          <w:b/>
          <w:bCs/>
          <w:color w:val="auto"/>
          <w:sz w:val="52"/>
          <w:szCs w:val="52"/>
          <w:lang w:val="en-US" w:eastAsia="zh-CN"/>
        </w:rPr>
        <w:t>202</w:t>
      </w:r>
      <w:r>
        <w:rPr>
          <w:rFonts w:hint="eastAsia" w:ascii="Times New Roman" w:hAnsi="Times New Roman" w:cs="Times New Roman"/>
          <w:b/>
          <w:bCs/>
          <w:color w:val="auto"/>
          <w:sz w:val="52"/>
          <w:szCs w:val="52"/>
          <w:lang w:val="en-US" w:eastAsia="zh-CN"/>
        </w:rPr>
        <w:t>5</w:t>
      </w:r>
      <w:r>
        <w:rPr>
          <w:rFonts w:hint="default" w:ascii="Times New Roman" w:hAnsi="Times New Roman" w:cs="Times New Roman"/>
          <w:b/>
          <w:bCs/>
          <w:color w:val="auto"/>
          <w:sz w:val="52"/>
          <w:szCs w:val="52"/>
          <w:lang w:val="en-US" w:eastAsia="zh-CN"/>
        </w:rPr>
        <w:t>年</w:t>
      </w:r>
      <w:r>
        <w:rPr>
          <w:rFonts w:hint="eastAsia" w:ascii="Times New Roman" w:hAnsi="Times New Roman" w:cs="Times New Roman"/>
          <w:b/>
          <w:bCs/>
          <w:color w:val="auto"/>
          <w:sz w:val="52"/>
          <w:szCs w:val="52"/>
          <w:lang w:val="en-US" w:eastAsia="zh-CN"/>
        </w:rPr>
        <w:t>3月</w:t>
      </w:r>
    </w:p>
    <w:p w14:paraId="71BFA628">
      <w:pPr>
        <w:rPr>
          <w:rFonts w:hint="default"/>
          <w:color w:val="auto"/>
          <w:lang w:val="en-US" w:eastAsia="zh-CN"/>
        </w:rPr>
        <w:sectPr>
          <w:head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cs="Times New Roman"/>
          <w:b/>
          <w:bCs/>
          <w:color w:val="auto"/>
          <w:sz w:val="52"/>
          <w:szCs w:val="52"/>
          <w:lang w:val="en-US" w:eastAsia="zh-CN"/>
        </w:rPr>
        <w:br w:type="page"/>
      </w:r>
    </w:p>
    <w:p w14:paraId="3714DFE0">
      <w:pPr>
        <w:bidi w:val="0"/>
        <w:rPr>
          <w:rFonts w:hint="eastAsia"/>
          <w:color w:val="auto"/>
          <w:lang w:val="en-US" w:eastAsia="zh-CN"/>
        </w:rPr>
      </w:pPr>
    </w:p>
    <w:sdt>
      <w:sdtPr>
        <w:rPr>
          <w:rFonts w:ascii="宋体" w:hAnsi="宋体" w:eastAsia="宋体" w:cstheme="minorBidi"/>
          <w:color w:val="auto"/>
          <w:kern w:val="2"/>
          <w:sz w:val="44"/>
          <w:szCs w:val="44"/>
          <w:lang w:val="en-US" w:eastAsia="zh-CN" w:bidi="ar-SA"/>
        </w:rPr>
        <w:id w:val="147470578"/>
        <w15:color w:val="DBDBDB"/>
        <w:docPartObj>
          <w:docPartGallery w:val="Table of Contents"/>
          <w:docPartUnique/>
        </w:docPartObj>
      </w:sdtPr>
      <w:sdtEndPr>
        <w:rPr>
          <w:rFonts w:hint="default" w:ascii="Times New Roman" w:hAnsi="Times New Roman" w:eastAsia="宋体" w:cstheme="minorBidi"/>
          <w:color w:val="auto"/>
          <w:kern w:val="2"/>
          <w:sz w:val="24"/>
          <w:szCs w:val="24"/>
          <w:lang w:val="en-US" w:eastAsia="zh-CN" w:bidi="ar-SA"/>
        </w:rPr>
      </w:sdtEndPr>
      <w:sdtContent>
        <w:p w14:paraId="776131E6">
          <w:pPr>
            <w:spacing w:before="0" w:beforeLines="0" w:after="0" w:afterLines="0" w:line="240" w:lineRule="auto"/>
            <w:ind w:left="0" w:leftChars="0" w:right="0" w:rightChars="0" w:firstLine="0" w:firstLineChars="0"/>
            <w:jc w:val="center"/>
            <w:rPr>
              <w:b/>
              <w:bCs/>
              <w:color w:val="auto"/>
              <w:sz w:val="44"/>
              <w:szCs w:val="44"/>
            </w:rPr>
          </w:pPr>
          <w:r>
            <w:rPr>
              <w:rFonts w:ascii="宋体" w:hAnsi="宋体" w:eastAsia="宋体"/>
              <w:b/>
              <w:bCs/>
              <w:color w:val="auto"/>
              <w:sz w:val="44"/>
              <w:szCs w:val="44"/>
            </w:rPr>
            <w:t>目</w:t>
          </w:r>
          <w:r>
            <w:rPr>
              <w:rFonts w:hint="eastAsia" w:ascii="宋体" w:hAnsi="宋体" w:eastAsia="宋体"/>
              <w:b/>
              <w:bCs/>
              <w:color w:val="auto"/>
              <w:sz w:val="44"/>
              <w:szCs w:val="44"/>
              <w:lang w:val="en-US" w:eastAsia="zh-CN"/>
            </w:rPr>
            <w:t xml:space="preserve"> </w:t>
          </w:r>
          <w:r>
            <w:rPr>
              <w:rFonts w:ascii="宋体" w:hAnsi="宋体" w:eastAsia="宋体"/>
              <w:b/>
              <w:bCs/>
              <w:color w:val="auto"/>
              <w:sz w:val="44"/>
              <w:szCs w:val="44"/>
            </w:rPr>
            <w:t>录</w:t>
          </w:r>
        </w:p>
        <w:p w14:paraId="354589B5">
          <w:pPr>
            <w:pStyle w:val="9"/>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color w:val="auto"/>
              <w:sz w:val="30"/>
              <w:szCs w:val="30"/>
              <w:lang w:val="en-US" w:eastAsia="zh-CN"/>
            </w:rPr>
            <w:instrText xml:space="preserve">TOC \o "1-2" \h \u </w:instrText>
          </w:r>
          <w:r>
            <w:rPr>
              <w:rFonts w:hint="eastAsia" w:asciiTheme="majorEastAsia" w:hAnsiTheme="majorEastAsia" w:eastAsiaTheme="majorEastAsia" w:cstheme="majorEastAsia"/>
              <w:color w:val="auto"/>
              <w:sz w:val="30"/>
              <w:szCs w:val="30"/>
              <w:lang w:val="en-US" w:eastAsia="zh-CN"/>
            </w:rPr>
            <w:fldChar w:fldCharType="separate"/>
          </w:r>
          <w:r>
            <w:rPr>
              <w:rFonts w:hint="eastAsia" w:asciiTheme="majorEastAsia" w:hAnsiTheme="majorEastAsia" w:eastAsiaTheme="majorEastAsia" w:cstheme="majorEastAsia"/>
              <w:b/>
              <w:bCs/>
              <w:color w:val="auto"/>
              <w:sz w:val="30"/>
              <w:szCs w:val="30"/>
              <w:lang w:val="en-US" w:eastAsia="zh-CN"/>
            </w:rPr>
            <w:fldChar w:fldCharType="begin"/>
          </w:r>
          <w:r>
            <w:rPr>
              <w:rFonts w:hint="eastAsia" w:asciiTheme="majorEastAsia" w:hAnsiTheme="majorEastAsia" w:eastAsiaTheme="majorEastAsia" w:cstheme="majorEastAsia"/>
              <w:b/>
              <w:bCs/>
              <w:sz w:val="30"/>
              <w:szCs w:val="30"/>
              <w:lang w:val="en-US" w:eastAsia="zh-CN"/>
            </w:rPr>
            <w:instrText xml:space="preserve"> HYPERLINK \l _Toc26673 </w:instrText>
          </w:r>
          <w:r>
            <w:rPr>
              <w:rFonts w:hint="eastAsia" w:asciiTheme="majorEastAsia" w:hAnsiTheme="majorEastAsia" w:eastAsiaTheme="majorEastAsia" w:cstheme="majorEastAsia"/>
              <w:b/>
              <w:bCs/>
              <w:sz w:val="30"/>
              <w:szCs w:val="30"/>
              <w:lang w:val="en-US" w:eastAsia="zh-CN"/>
            </w:rPr>
            <w:fldChar w:fldCharType="separate"/>
          </w:r>
          <w:r>
            <w:rPr>
              <w:rFonts w:hint="eastAsia" w:asciiTheme="majorEastAsia" w:hAnsiTheme="majorEastAsia" w:eastAsiaTheme="majorEastAsia" w:cstheme="majorEastAsia"/>
              <w:b/>
              <w:bCs/>
              <w:sz w:val="30"/>
              <w:szCs w:val="30"/>
              <w:lang w:val="en-US" w:eastAsia="zh-CN"/>
            </w:rPr>
            <w:t>第一部分 教学运行与管理制度</w:t>
          </w:r>
          <w:r>
            <w:rPr>
              <w:rFonts w:hint="eastAsia" w:asciiTheme="majorEastAsia" w:hAnsiTheme="majorEastAsia" w:eastAsiaTheme="majorEastAsia" w:cstheme="majorEastAsia"/>
              <w:b w:val="0"/>
              <w:bCs w:val="0"/>
              <w:sz w:val="30"/>
              <w:szCs w:val="30"/>
            </w:rPr>
            <w:tab/>
          </w:r>
          <w:r>
            <w:rPr>
              <w:rFonts w:hint="eastAsia" w:asciiTheme="majorEastAsia" w:hAnsiTheme="majorEastAsia" w:eastAsiaTheme="majorEastAsia" w:cstheme="majorEastAsia"/>
              <w:b w:val="0"/>
              <w:bCs w:val="0"/>
              <w:sz w:val="30"/>
              <w:szCs w:val="30"/>
            </w:rPr>
            <w:fldChar w:fldCharType="begin"/>
          </w:r>
          <w:r>
            <w:rPr>
              <w:rFonts w:hint="eastAsia" w:asciiTheme="majorEastAsia" w:hAnsiTheme="majorEastAsia" w:eastAsiaTheme="majorEastAsia" w:cstheme="majorEastAsia"/>
              <w:b w:val="0"/>
              <w:bCs w:val="0"/>
              <w:sz w:val="30"/>
              <w:szCs w:val="30"/>
            </w:rPr>
            <w:instrText xml:space="preserve"> PAGEREF _Toc26673 </w:instrText>
          </w:r>
          <w:r>
            <w:rPr>
              <w:rFonts w:hint="eastAsia" w:asciiTheme="majorEastAsia" w:hAnsiTheme="majorEastAsia" w:eastAsiaTheme="majorEastAsia" w:cstheme="majorEastAsia"/>
              <w:b w:val="0"/>
              <w:bCs w:val="0"/>
              <w:sz w:val="30"/>
              <w:szCs w:val="30"/>
            </w:rPr>
            <w:fldChar w:fldCharType="separate"/>
          </w:r>
          <w:r>
            <w:rPr>
              <w:rFonts w:hint="eastAsia" w:asciiTheme="majorEastAsia" w:hAnsiTheme="majorEastAsia" w:eastAsiaTheme="majorEastAsia" w:cstheme="majorEastAsia"/>
              <w:b w:val="0"/>
              <w:bCs w:val="0"/>
              <w:sz w:val="30"/>
              <w:szCs w:val="30"/>
            </w:rPr>
            <w:t>1</w:t>
          </w:r>
          <w:r>
            <w:rPr>
              <w:rFonts w:hint="eastAsia" w:asciiTheme="majorEastAsia" w:hAnsiTheme="majorEastAsia" w:eastAsiaTheme="majorEastAsia" w:cstheme="majorEastAsia"/>
              <w:b w:val="0"/>
              <w:bCs w:val="0"/>
              <w:sz w:val="30"/>
              <w:szCs w:val="30"/>
            </w:rPr>
            <w:fldChar w:fldCharType="end"/>
          </w:r>
          <w:r>
            <w:rPr>
              <w:rFonts w:hint="eastAsia" w:asciiTheme="majorEastAsia" w:hAnsiTheme="majorEastAsia" w:eastAsiaTheme="majorEastAsia" w:cstheme="majorEastAsia"/>
              <w:b/>
              <w:bCs/>
              <w:color w:val="auto"/>
              <w:sz w:val="30"/>
              <w:szCs w:val="30"/>
              <w:lang w:val="en-US" w:eastAsia="zh-CN"/>
            </w:rPr>
            <w:fldChar w:fldCharType="end"/>
          </w:r>
        </w:p>
        <w:p w14:paraId="74F0CF19">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_Toc7262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kern w:val="2"/>
              <w:sz w:val="30"/>
              <w:szCs w:val="30"/>
              <w:lang w:val="en-US" w:eastAsia="zh-CN" w:bidi="ar-SA"/>
            </w:rPr>
            <w:t>体育部教学指导委员会章程</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_Toc7262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2</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5B07FDB5">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_Toc18825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kern w:val="2"/>
              <w:sz w:val="30"/>
              <w:szCs w:val="30"/>
              <w:lang w:val="en-US" w:eastAsia="zh-CN" w:bidi="ar-SA"/>
            </w:rPr>
            <w:t>体育部课程建设管理办法</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_Toc18825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6</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387A751D">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_Toc5475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kern w:val="2"/>
              <w:sz w:val="30"/>
              <w:szCs w:val="30"/>
              <w:lang w:val="en-US" w:eastAsia="zh-CN" w:bidi="ar-SA"/>
            </w:rPr>
            <w:t>体育部“课程思政”实施方案</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_Toc5475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10</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7C10B4CD">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_Toc26226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kern w:val="2"/>
              <w:sz w:val="30"/>
              <w:szCs w:val="30"/>
              <w:lang w:val="en-US" w:eastAsia="zh-CN" w:bidi="ar-SA"/>
            </w:rPr>
            <w:t>体育部关于课程教学大纲制定、修订及审查的规定（试行）</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_Toc26226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14</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6F4229CA">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_Toc2400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sz w:val="30"/>
              <w:szCs w:val="30"/>
              <w:lang w:val="en-US" w:eastAsia="zh-CN"/>
            </w:rPr>
            <w:t>体育部</w:t>
          </w:r>
          <w:r>
            <w:rPr>
              <w:rFonts w:hint="eastAsia" w:asciiTheme="majorEastAsia" w:hAnsiTheme="majorEastAsia" w:eastAsiaTheme="majorEastAsia" w:cstheme="majorEastAsia"/>
              <w:sz w:val="30"/>
              <w:szCs w:val="30"/>
            </w:rPr>
            <w:t>关于规范课堂教学管理的规定</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_Toc2400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17</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16061747">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_Toc630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sz w:val="30"/>
              <w:szCs w:val="30"/>
              <w:lang w:val="en-US" w:eastAsia="zh-CN"/>
            </w:rPr>
            <w:t>体育部</w:t>
          </w:r>
          <w:r>
            <w:rPr>
              <w:rFonts w:hint="eastAsia" w:asciiTheme="majorEastAsia" w:hAnsiTheme="majorEastAsia" w:eastAsiaTheme="majorEastAsia" w:cstheme="majorEastAsia"/>
              <w:kern w:val="2"/>
              <w:sz w:val="30"/>
              <w:szCs w:val="30"/>
              <w:lang w:val="en-US" w:eastAsia="zh-CN" w:bidi="ar-SA"/>
            </w:rPr>
            <w:t>听课管理办法</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_Toc630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20</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16121D76">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_Toc17673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sz w:val="30"/>
              <w:szCs w:val="30"/>
              <w:lang w:val="en-US" w:eastAsia="zh-CN"/>
            </w:rPr>
            <w:t>体育部本科教学二级督导工作管理办法</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_Toc17673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22</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143E2C87">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_Toc14719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kern w:val="2"/>
              <w:sz w:val="30"/>
              <w:szCs w:val="30"/>
              <w:lang w:val="en-US" w:eastAsia="zh-CN" w:bidi="ar-SA"/>
            </w:rPr>
            <w:t>体育部日常教学规范</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_Toc14719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24</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58D8DE74">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_Toc5759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kern w:val="2"/>
              <w:sz w:val="30"/>
              <w:szCs w:val="30"/>
              <w:lang w:val="en-US" w:eastAsia="zh-CN" w:bidi="ar-SA"/>
            </w:rPr>
            <w:t>湖南女子学院运动队训练竞赛及学院阳光体育竞赛管理制度</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_Toc5759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25</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708AE226">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_Toc17285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kern w:val="2"/>
              <w:sz w:val="30"/>
              <w:szCs w:val="30"/>
              <w:lang w:val="en-US" w:eastAsia="zh-CN" w:bidi="ar-SA"/>
            </w:rPr>
            <w:t>湖南女子学院运动队教练员竞聘上岗方案</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_Toc17285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28</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4F46141B">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_Toc22222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kern w:val="2"/>
              <w:sz w:val="30"/>
              <w:szCs w:val="30"/>
              <w:lang w:val="en-US" w:eastAsia="zh-CN" w:bidi="ar-SA"/>
            </w:rPr>
            <w:t>体育部教改项目推选评审细则（修订版）</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_Toc22222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32</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29CFEE11">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_Toc23185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sz w:val="30"/>
              <w:szCs w:val="30"/>
              <w:lang w:val="en-US" w:eastAsia="zh-CN"/>
            </w:rPr>
            <w:t>体育部</w:t>
          </w:r>
          <w:r>
            <w:rPr>
              <w:rFonts w:hint="eastAsia" w:asciiTheme="majorEastAsia" w:hAnsiTheme="majorEastAsia" w:eastAsiaTheme="majorEastAsia" w:cstheme="majorEastAsia"/>
              <w:sz w:val="30"/>
              <w:szCs w:val="30"/>
            </w:rPr>
            <w:t>青年教师培养</w:t>
          </w:r>
          <w:r>
            <w:rPr>
              <w:rFonts w:hint="eastAsia" w:asciiTheme="majorEastAsia" w:hAnsiTheme="majorEastAsia" w:eastAsiaTheme="majorEastAsia" w:cstheme="majorEastAsia"/>
              <w:sz w:val="30"/>
              <w:szCs w:val="30"/>
              <w:lang w:val="en-US" w:eastAsia="zh-CN"/>
            </w:rPr>
            <w:t>实施细则</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_Toc23185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35</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208DCA64">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_Toc12383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sz w:val="30"/>
              <w:szCs w:val="30"/>
              <w:lang w:val="en-US" w:eastAsia="zh-CN"/>
            </w:rPr>
            <w:t>体育部</w:t>
          </w:r>
          <w:r>
            <w:rPr>
              <w:rFonts w:hint="eastAsia" w:asciiTheme="majorEastAsia" w:hAnsiTheme="majorEastAsia" w:eastAsiaTheme="majorEastAsia" w:cstheme="majorEastAsia"/>
              <w:sz w:val="30"/>
              <w:szCs w:val="30"/>
            </w:rPr>
            <w:t>教研活动开展实施细则</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_Toc12383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38</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2FF9AC0A">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_Toc32224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sz w:val="30"/>
              <w:szCs w:val="30"/>
              <w:lang w:val="en-US" w:eastAsia="zh-CN"/>
            </w:rPr>
            <w:t>体育部</w:t>
          </w:r>
          <w:r>
            <w:rPr>
              <w:rFonts w:hint="eastAsia" w:asciiTheme="majorEastAsia" w:hAnsiTheme="majorEastAsia" w:eastAsiaTheme="majorEastAsia" w:cstheme="majorEastAsia"/>
              <w:kern w:val="2"/>
              <w:sz w:val="30"/>
              <w:szCs w:val="30"/>
              <w:lang w:val="en-US" w:eastAsia="zh-CN" w:bidi="ar-SA"/>
            </w:rPr>
            <w:t>教研室主任职责</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_Toc32224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40</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34300901">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_Toc4618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sz w:val="30"/>
              <w:szCs w:val="30"/>
              <w:lang w:val="en-US" w:eastAsia="zh-CN"/>
            </w:rPr>
            <w:t>体育部</w:t>
          </w:r>
          <w:r>
            <w:rPr>
              <w:rFonts w:hint="eastAsia" w:asciiTheme="majorEastAsia" w:hAnsiTheme="majorEastAsia" w:eastAsiaTheme="majorEastAsia" w:cstheme="majorEastAsia"/>
              <w:kern w:val="2"/>
              <w:sz w:val="30"/>
              <w:szCs w:val="30"/>
              <w:lang w:val="en-US" w:eastAsia="zh-CN" w:bidi="ar-SA"/>
            </w:rPr>
            <w:t>体育器材室工作人员职责</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_Toc4618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41</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36F0666D">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_Toc25397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sz w:val="30"/>
              <w:szCs w:val="30"/>
              <w:lang w:val="en-US" w:eastAsia="zh-CN"/>
            </w:rPr>
            <w:t>体育部</w:t>
          </w:r>
          <w:r>
            <w:rPr>
              <w:rFonts w:hint="eastAsia" w:asciiTheme="majorEastAsia" w:hAnsiTheme="majorEastAsia" w:eastAsiaTheme="majorEastAsia" w:cstheme="majorEastAsia"/>
              <w:kern w:val="2"/>
              <w:sz w:val="30"/>
              <w:szCs w:val="30"/>
              <w:lang w:val="en-US" w:eastAsia="zh-CN" w:bidi="ar-SA"/>
            </w:rPr>
            <w:t>看台形体训练室管理规章制度</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_Toc25397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42</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5A698259">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_Toc31660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sz w:val="30"/>
              <w:szCs w:val="30"/>
              <w:lang w:val="en-US" w:eastAsia="zh-CN"/>
            </w:rPr>
            <w:t>体育部</w:t>
          </w:r>
          <w:r>
            <w:rPr>
              <w:rFonts w:hint="eastAsia" w:asciiTheme="majorEastAsia" w:hAnsiTheme="majorEastAsia" w:eastAsiaTheme="majorEastAsia" w:cstheme="majorEastAsia"/>
              <w:kern w:val="2"/>
              <w:sz w:val="30"/>
              <w:szCs w:val="30"/>
              <w:lang w:val="en-US" w:eastAsia="zh-CN" w:bidi="ar-SA"/>
            </w:rPr>
            <w:t>乒乓球室管理制度</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_Toc31660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43</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531BC0D9">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_Toc12180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sz w:val="30"/>
              <w:szCs w:val="30"/>
              <w:lang w:val="en-US" w:eastAsia="zh-CN"/>
            </w:rPr>
            <w:t>体育部</w:t>
          </w:r>
          <w:r>
            <w:rPr>
              <w:rFonts w:hint="eastAsia" w:asciiTheme="majorEastAsia" w:hAnsiTheme="majorEastAsia" w:eastAsiaTheme="majorEastAsia" w:cstheme="majorEastAsia"/>
              <w:kern w:val="2"/>
              <w:sz w:val="30"/>
              <w:szCs w:val="30"/>
              <w:lang w:val="en-US" w:eastAsia="zh-CN" w:bidi="ar-SA"/>
            </w:rPr>
            <w:t>羽毛球室管理制度</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_Toc12180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44</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378EC46B">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_Toc30823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sz w:val="30"/>
              <w:szCs w:val="30"/>
              <w:lang w:val="en-US" w:eastAsia="zh-CN"/>
            </w:rPr>
            <w:t>体育部实验（实训）室仪器设备管理办法</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_Toc30823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45</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6E88AE58">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_Toc6909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kern w:val="2"/>
              <w:sz w:val="30"/>
              <w:szCs w:val="30"/>
              <w:lang w:val="en-US" w:eastAsia="zh-CN" w:bidi="ar-SA"/>
            </w:rPr>
            <w:t>体育部实验（实训）室卫生制度</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_Toc6909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48</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41628512">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color w:val="auto"/>
              <w:sz w:val="30"/>
              <w:szCs w:val="30"/>
              <w:lang w:val="en-US" w:eastAsia="zh-CN"/>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_Toc31741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bCs/>
              <w:sz w:val="30"/>
              <w:szCs w:val="30"/>
              <w:lang w:eastAsia="zh-CN"/>
            </w:rPr>
            <w:t>湖南女子学院《</w:t>
          </w:r>
          <w:r>
            <w:rPr>
              <w:rFonts w:hint="eastAsia" w:asciiTheme="majorEastAsia" w:hAnsiTheme="majorEastAsia" w:eastAsiaTheme="majorEastAsia" w:cstheme="majorEastAsia"/>
              <w:bCs/>
              <w:sz w:val="30"/>
              <w:szCs w:val="30"/>
            </w:rPr>
            <w:t>学生体质健康</w:t>
          </w:r>
          <w:r>
            <w:rPr>
              <w:rFonts w:hint="eastAsia" w:asciiTheme="majorEastAsia" w:hAnsiTheme="majorEastAsia" w:eastAsiaTheme="majorEastAsia" w:cstheme="majorEastAsia"/>
              <w:bCs/>
              <w:sz w:val="30"/>
              <w:szCs w:val="30"/>
              <w:lang w:eastAsia="zh-CN"/>
            </w:rPr>
            <w:t>达标》测试</w:t>
          </w:r>
          <w:r>
            <w:rPr>
              <w:rFonts w:hint="eastAsia" w:asciiTheme="majorEastAsia" w:hAnsiTheme="majorEastAsia" w:eastAsiaTheme="majorEastAsia" w:cstheme="majorEastAsia"/>
              <w:bCs/>
              <w:sz w:val="30"/>
              <w:szCs w:val="30"/>
            </w:rPr>
            <w:t>管理办法</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_Toc31741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53</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70B1D5D6">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default" w:asciiTheme="majorEastAsia" w:hAnsiTheme="majorEastAsia" w:eastAsiaTheme="majorEastAsia" w:cstheme="majorEastAsia"/>
              <w:sz w:val="30"/>
              <w:szCs w:val="30"/>
              <w:lang w:val="en-US"/>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_Toc14402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kern w:val="2"/>
              <w:sz w:val="30"/>
              <w:szCs w:val="30"/>
              <w:lang w:val="en-US" w:eastAsia="zh-CN" w:bidi="ar-SA"/>
            </w:rPr>
            <w:t>体育部教学科研团队建设与管理方案</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lang w:val="en-US" w:eastAsia="zh-CN"/>
            </w:rPr>
            <w:t>5</w:t>
          </w:r>
          <w:r>
            <w:rPr>
              <w:rFonts w:hint="eastAsia" w:asciiTheme="majorEastAsia" w:hAnsiTheme="majorEastAsia" w:eastAsiaTheme="majorEastAsia" w:cstheme="majorEastAsia"/>
              <w:color w:val="auto"/>
              <w:sz w:val="30"/>
              <w:szCs w:val="30"/>
              <w:lang w:val="en-US" w:eastAsia="zh-CN"/>
            </w:rPr>
            <w:fldChar w:fldCharType="end"/>
          </w:r>
          <w:r>
            <w:rPr>
              <w:rFonts w:hint="eastAsia" w:asciiTheme="majorEastAsia" w:hAnsiTheme="majorEastAsia" w:eastAsiaTheme="majorEastAsia" w:cstheme="majorEastAsia"/>
              <w:color w:val="auto"/>
              <w:sz w:val="30"/>
              <w:szCs w:val="30"/>
              <w:lang w:val="en-US" w:eastAsia="zh-CN"/>
            </w:rPr>
            <w:t>7</w:t>
          </w:r>
        </w:p>
        <w:p w14:paraId="0F0C0326">
          <w:pPr>
            <w:pStyle w:val="9"/>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_Toc32484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b/>
              <w:bCs/>
              <w:sz w:val="30"/>
              <w:szCs w:val="30"/>
              <w:lang w:val="en-US" w:eastAsia="zh-CN"/>
            </w:rPr>
            <w:t>第二部分 质量监控与保障体系制度</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_Toc32484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60</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0F68C427">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_Toc17381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sz w:val="30"/>
              <w:szCs w:val="30"/>
              <w:lang w:val="en-US" w:eastAsia="zh-CN"/>
            </w:rPr>
            <w:t>体育部年度教学质量奖评选实施细则</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_Toc17381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61</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393FDBE7">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_Toc3445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kern w:val="2"/>
              <w:sz w:val="30"/>
              <w:szCs w:val="30"/>
              <w:lang w:val="en-US" w:eastAsia="zh-CN" w:bidi="ar-SA"/>
            </w:rPr>
            <w:t>体育部教学质量监控制度</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_Toc3445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67</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6B198DE4">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_Toc8703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kern w:val="2"/>
              <w:sz w:val="30"/>
              <w:szCs w:val="30"/>
              <w:lang w:val="en-US" w:eastAsia="zh-CN" w:bidi="ar-SA"/>
            </w:rPr>
            <w:t>体育部本科教学质量监控与保障体系及其运行办法</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_Toc8703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69</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47C561DE">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_Toc8163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kern w:val="2"/>
              <w:sz w:val="30"/>
              <w:szCs w:val="30"/>
              <w:lang w:val="en-US" w:eastAsia="zh-CN" w:bidi="ar-SA"/>
            </w:rPr>
            <w:t>体育部教学质量信息反馈实施办法（试行）</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_Toc8163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75</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09FBFF46">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_Toc1569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bCs/>
              <w:sz w:val="30"/>
              <w:szCs w:val="30"/>
              <w:lang w:val="en-US" w:eastAsia="zh-CN"/>
            </w:rPr>
            <w:t>体育部教师教育</w:t>
          </w:r>
          <w:r>
            <w:rPr>
              <w:rFonts w:hint="eastAsia" w:asciiTheme="majorEastAsia" w:hAnsiTheme="majorEastAsia" w:eastAsiaTheme="majorEastAsia" w:cstheme="majorEastAsia"/>
              <w:bCs/>
              <w:sz w:val="30"/>
              <w:szCs w:val="30"/>
            </w:rPr>
            <w:t>课程教学评价</w:t>
          </w:r>
          <w:r>
            <w:rPr>
              <w:rFonts w:hint="eastAsia" w:asciiTheme="majorEastAsia" w:hAnsiTheme="majorEastAsia" w:eastAsiaTheme="majorEastAsia" w:cstheme="majorEastAsia"/>
              <w:bCs/>
              <w:sz w:val="30"/>
              <w:szCs w:val="30"/>
              <w:lang w:val="en-US" w:eastAsia="zh-CN"/>
            </w:rPr>
            <w:t>实施细则</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_Toc1569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77</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4EE93F83">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_Toc15448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sz w:val="30"/>
              <w:szCs w:val="30"/>
              <w:lang w:val="en-US" w:eastAsia="zh-CN"/>
            </w:rPr>
            <w:t>体育部</w:t>
          </w:r>
          <w:r>
            <w:rPr>
              <w:rFonts w:hint="eastAsia" w:asciiTheme="majorEastAsia" w:hAnsiTheme="majorEastAsia" w:eastAsiaTheme="majorEastAsia" w:cstheme="majorEastAsia"/>
              <w:sz w:val="30"/>
              <w:szCs w:val="30"/>
            </w:rPr>
            <w:t>主要教学环节质量及考核标准</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_Toc15448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84</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485E10D0">
          <w:pPr>
            <w:pStyle w:val="10"/>
            <w:keepNext w:val="0"/>
            <w:keepLines w:val="0"/>
            <w:pageBreakBefore w:val="0"/>
            <w:widowControl w:val="0"/>
            <w:tabs>
              <w:tab w:val="right" w:leader="dot" w:pos="8528"/>
            </w:tabs>
            <w:kinsoku/>
            <w:wordWrap/>
            <w:overflowPunct/>
            <w:topLinePunct w:val="0"/>
            <w:autoSpaceDE/>
            <w:autoSpaceDN/>
            <w:bidi w:val="0"/>
            <w:adjustRightInd/>
            <w:snapToGrid/>
            <w:spacing w:line="420" w:lineRule="exact"/>
            <w:textAlignment w:val="auto"/>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color w:val="auto"/>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HYPERLINK \l _Toc1231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kern w:val="2"/>
              <w:sz w:val="30"/>
              <w:szCs w:val="30"/>
              <w:lang w:val="en-US" w:eastAsia="zh-CN" w:bidi="ar-SA"/>
            </w:rPr>
            <w:t>体育部日常教学检查工作制度</w:t>
          </w:r>
          <w:r>
            <w:rPr>
              <w:rFonts w:hint="eastAsia" w:asciiTheme="majorEastAsia" w:hAnsiTheme="majorEastAsia" w:eastAsiaTheme="majorEastAsia" w:cstheme="majorEastAsia"/>
              <w:sz w:val="30"/>
              <w:szCs w:val="30"/>
            </w:rPr>
            <w:tab/>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PAGEREF _Toc1231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87</w:t>
          </w:r>
          <w:r>
            <w:rPr>
              <w:rFonts w:hint="eastAsia" w:asciiTheme="majorEastAsia" w:hAnsiTheme="majorEastAsia" w:eastAsiaTheme="majorEastAsia" w:cstheme="majorEastAsia"/>
              <w:sz w:val="30"/>
              <w:szCs w:val="30"/>
            </w:rPr>
            <w:fldChar w:fldCharType="end"/>
          </w:r>
          <w:r>
            <w:rPr>
              <w:rFonts w:hint="eastAsia" w:asciiTheme="majorEastAsia" w:hAnsiTheme="majorEastAsia" w:eastAsiaTheme="majorEastAsia" w:cstheme="majorEastAsia"/>
              <w:color w:val="auto"/>
              <w:sz w:val="30"/>
              <w:szCs w:val="30"/>
              <w:lang w:val="en-US" w:eastAsia="zh-CN"/>
            </w:rPr>
            <w:fldChar w:fldCharType="end"/>
          </w:r>
        </w:p>
        <w:p w14:paraId="46FF960E">
          <w:pPr>
            <w:bidi w:val="0"/>
            <w:rPr>
              <w:rFonts w:hint="eastAsia" w:asciiTheme="majorEastAsia" w:hAnsiTheme="majorEastAsia" w:eastAsiaTheme="majorEastAsia" w:cstheme="majorEastAsia"/>
              <w:color w:val="auto"/>
              <w:sz w:val="30"/>
              <w:szCs w:val="30"/>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3D01A28F">
          <w:pPr>
            <w:bidi w:val="0"/>
            <w:rPr>
              <w:rFonts w:hint="default"/>
              <w:color w:val="auto"/>
              <w:lang w:val="en-US" w:eastAsia="zh-CN"/>
            </w:rPr>
          </w:pPr>
          <w:r>
            <w:rPr>
              <w:rFonts w:hint="eastAsia" w:asciiTheme="majorEastAsia" w:hAnsiTheme="majorEastAsia" w:eastAsiaTheme="majorEastAsia" w:cstheme="majorEastAsia"/>
              <w:color w:val="auto"/>
              <w:sz w:val="30"/>
              <w:szCs w:val="30"/>
              <w:lang w:val="en-US" w:eastAsia="zh-CN"/>
            </w:rPr>
            <w:fldChar w:fldCharType="end"/>
          </w:r>
        </w:p>
      </w:sdtContent>
    </w:sdt>
    <w:p w14:paraId="5C0289FD">
      <w:pPr>
        <w:bidi w:val="0"/>
        <w:rPr>
          <w:rFonts w:hint="default"/>
          <w:color w:val="auto"/>
          <w:lang w:val="en-US" w:eastAsia="zh-CN"/>
        </w:rPr>
      </w:pPr>
    </w:p>
    <w:p w14:paraId="13FA11AB">
      <w:pPr>
        <w:bidi w:val="0"/>
        <w:rPr>
          <w:rFonts w:hint="default"/>
          <w:color w:val="auto"/>
          <w:lang w:val="en-US" w:eastAsia="zh-CN"/>
        </w:rPr>
      </w:pPr>
    </w:p>
    <w:p w14:paraId="1E8D7451">
      <w:pPr>
        <w:bidi w:val="0"/>
        <w:rPr>
          <w:rFonts w:hint="default"/>
          <w:color w:val="auto"/>
          <w:lang w:val="en-US" w:eastAsia="zh-CN"/>
        </w:rPr>
      </w:pPr>
    </w:p>
    <w:p w14:paraId="4A7D2CF4">
      <w:pPr>
        <w:bidi w:val="0"/>
        <w:rPr>
          <w:rFonts w:hint="default"/>
          <w:color w:val="auto"/>
          <w:lang w:val="en-US" w:eastAsia="zh-CN"/>
        </w:rPr>
      </w:pPr>
    </w:p>
    <w:p w14:paraId="5FCED33F">
      <w:pPr>
        <w:bidi w:val="0"/>
        <w:rPr>
          <w:rFonts w:hint="default"/>
          <w:color w:val="auto"/>
          <w:lang w:val="en-US" w:eastAsia="zh-CN"/>
        </w:rPr>
      </w:pPr>
    </w:p>
    <w:p w14:paraId="6DEA6A90">
      <w:pPr>
        <w:bidi w:val="0"/>
        <w:rPr>
          <w:rFonts w:hint="default"/>
          <w:color w:val="auto"/>
          <w:lang w:val="en-US" w:eastAsia="zh-CN"/>
        </w:rPr>
      </w:pPr>
    </w:p>
    <w:p w14:paraId="65F2DABD">
      <w:pPr>
        <w:bidi w:val="0"/>
        <w:rPr>
          <w:rFonts w:hint="default"/>
          <w:color w:val="auto"/>
          <w:lang w:val="en-US" w:eastAsia="zh-CN"/>
        </w:rPr>
      </w:pPr>
    </w:p>
    <w:p w14:paraId="587272AF">
      <w:pPr>
        <w:bidi w:val="0"/>
        <w:rPr>
          <w:rFonts w:hint="default"/>
          <w:color w:val="auto"/>
          <w:lang w:val="en-US" w:eastAsia="zh-CN"/>
        </w:rPr>
      </w:pPr>
    </w:p>
    <w:p w14:paraId="660C6540">
      <w:pPr>
        <w:bidi w:val="0"/>
        <w:rPr>
          <w:rFonts w:hint="default"/>
          <w:color w:val="auto"/>
          <w:lang w:val="en-US" w:eastAsia="zh-CN"/>
        </w:rPr>
      </w:pPr>
    </w:p>
    <w:p w14:paraId="28B3EF1E">
      <w:pPr>
        <w:bidi w:val="0"/>
        <w:rPr>
          <w:rFonts w:hint="default"/>
          <w:color w:val="auto"/>
          <w:lang w:val="en-US" w:eastAsia="zh-CN"/>
        </w:rPr>
      </w:pPr>
    </w:p>
    <w:p w14:paraId="5C9365AA">
      <w:pPr>
        <w:bidi w:val="0"/>
        <w:rPr>
          <w:rFonts w:hint="default"/>
          <w:color w:val="auto"/>
          <w:lang w:val="en-US" w:eastAsia="zh-CN"/>
        </w:rPr>
      </w:pPr>
    </w:p>
    <w:p w14:paraId="1E6AADF4">
      <w:pPr>
        <w:pStyle w:val="2"/>
        <w:bidi w:val="0"/>
        <w:rPr>
          <w:rFonts w:hint="eastAsia"/>
          <w:color w:val="auto"/>
          <w:sz w:val="44"/>
          <w:szCs w:val="44"/>
          <w:lang w:val="en-US" w:eastAsia="zh-CN"/>
        </w:rPr>
      </w:pPr>
      <w:bookmarkStart w:id="0" w:name="_Toc26673"/>
    </w:p>
    <w:p w14:paraId="63E187AF">
      <w:pPr>
        <w:pStyle w:val="2"/>
        <w:bidi w:val="0"/>
        <w:rPr>
          <w:rFonts w:hint="eastAsia"/>
          <w:color w:val="auto"/>
          <w:sz w:val="44"/>
          <w:szCs w:val="44"/>
          <w:lang w:val="en-US" w:eastAsia="zh-CN"/>
        </w:rPr>
      </w:pPr>
    </w:p>
    <w:p w14:paraId="61E408E9">
      <w:pPr>
        <w:pStyle w:val="2"/>
        <w:bidi w:val="0"/>
        <w:rPr>
          <w:rFonts w:hint="eastAsia"/>
          <w:color w:val="auto"/>
          <w:sz w:val="44"/>
          <w:szCs w:val="44"/>
          <w:lang w:val="en-US" w:eastAsia="zh-CN"/>
        </w:rPr>
      </w:pPr>
    </w:p>
    <w:p w14:paraId="2A2CAFDC">
      <w:pPr>
        <w:pStyle w:val="2"/>
        <w:bidi w:val="0"/>
        <w:rPr>
          <w:rFonts w:hint="default"/>
          <w:color w:val="auto"/>
          <w:sz w:val="44"/>
          <w:szCs w:val="44"/>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color w:val="auto"/>
          <w:sz w:val="52"/>
          <w:szCs w:val="52"/>
          <w:lang w:val="en-US" w:eastAsia="zh-CN"/>
        </w:rPr>
        <w:t>第一部分 教学运行与管理制度</w:t>
      </w:r>
      <w:bookmarkEnd w:id="0"/>
    </w:p>
    <w:p w14:paraId="0D5F3BAB">
      <w:pPr>
        <w:pStyle w:val="3"/>
        <w:keepNext/>
        <w:keepLines/>
        <w:pageBreakBefore w:val="0"/>
        <w:widowControl w:val="0"/>
        <w:kinsoku/>
        <w:wordWrap/>
        <w:overflowPunct/>
        <w:topLinePunct w:val="0"/>
        <w:autoSpaceDE/>
        <w:autoSpaceDN/>
        <w:bidi w:val="0"/>
        <w:adjustRightInd/>
        <w:snapToGrid/>
        <w:spacing w:before="313" w:beforeLines="100" w:after="313" w:afterLines="100" w:line="413" w:lineRule="auto"/>
        <w:jc w:val="center"/>
        <w:textAlignment w:val="auto"/>
        <w:rPr>
          <w:rFonts w:hint="eastAsia" w:ascii="Times New Roman" w:hAnsi="Times New Roman" w:eastAsia="黑体" w:cstheme="minorBidi"/>
          <w:b/>
          <w:color w:val="auto"/>
          <w:kern w:val="2"/>
          <w:sz w:val="36"/>
          <w:szCs w:val="36"/>
          <w:lang w:val="en-US" w:eastAsia="zh-CN" w:bidi="ar-SA"/>
        </w:rPr>
      </w:pPr>
      <w:bookmarkStart w:id="1" w:name="_Toc7262"/>
      <w:r>
        <w:rPr>
          <w:rFonts w:hint="eastAsia" w:ascii="Times New Roman" w:hAnsi="Times New Roman" w:eastAsia="黑体" w:cstheme="minorBidi"/>
          <w:b/>
          <w:color w:val="auto"/>
          <w:kern w:val="2"/>
          <w:sz w:val="36"/>
          <w:szCs w:val="36"/>
          <w:lang w:val="en-US" w:eastAsia="zh-CN" w:bidi="ar-SA"/>
        </w:rPr>
        <w:t>体育部教学指导委员会章程</w:t>
      </w:r>
      <w:bookmarkEnd w:id="1"/>
    </w:p>
    <w:p w14:paraId="0559882C">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为了加强</w:t>
      </w:r>
      <w:r>
        <w:rPr>
          <w:rFonts w:hint="eastAsia" w:asciiTheme="minorEastAsia" w:hAnsiTheme="minorEastAsia"/>
          <w:color w:val="auto"/>
          <w:sz w:val="28"/>
          <w:szCs w:val="28"/>
          <w:lang w:val="en-US" w:eastAsia="zh-CN"/>
        </w:rPr>
        <w:t>体育部</w:t>
      </w:r>
      <w:r>
        <w:rPr>
          <w:rFonts w:hint="eastAsia" w:asciiTheme="minorEastAsia" w:hAnsiTheme="minorEastAsia"/>
          <w:color w:val="auto"/>
          <w:sz w:val="28"/>
          <w:szCs w:val="28"/>
        </w:rPr>
        <w:t>教学管理，提高教学决策的科学性，促进</w:t>
      </w:r>
      <w:r>
        <w:rPr>
          <w:rFonts w:hint="eastAsia" w:asciiTheme="minorEastAsia" w:hAnsiTheme="minorEastAsia"/>
          <w:color w:val="auto"/>
          <w:sz w:val="28"/>
          <w:szCs w:val="28"/>
          <w:lang w:val="en-US" w:eastAsia="zh-CN"/>
        </w:rPr>
        <w:t>体育部</w:t>
      </w:r>
      <w:r>
        <w:rPr>
          <w:rFonts w:hint="eastAsia" w:asciiTheme="minorEastAsia" w:hAnsiTheme="minorEastAsia"/>
          <w:color w:val="auto"/>
          <w:sz w:val="28"/>
          <w:szCs w:val="28"/>
        </w:rPr>
        <w:t>教学工作和教学质量工程建设的发展，提高</w:t>
      </w:r>
      <w:r>
        <w:rPr>
          <w:rFonts w:hint="eastAsia" w:asciiTheme="minorEastAsia" w:hAnsiTheme="minorEastAsia"/>
          <w:color w:val="auto"/>
          <w:sz w:val="28"/>
          <w:szCs w:val="28"/>
          <w:lang w:val="en-US" w:eastAsia="zh-CN"/>
        </w:rPr>
        <w:t>体育部</w:t>
      </w:r>
      <w:r>
        <w:rPr>
          <w:rFonts w:hint="eastAsia" w:asciiTheme="minorEastAsia" w:hAnsiTheme="minorEastAsia"/>
          <w:color w:val="auto"/>
          <w:sz w:val="28"/>
          <w:szCs w:val="28"/>
        </w:rPr>
        <w:t>教学质量，根据《关于成立二级学院教学指导委员会的通知》（2022年10月19日下发）与《湖南女子学院教学指导委员会章程（修订）》（湘女院通字[2017]30 号）有关制定二级学院教学指导委员会章程及成立二级学院教学指导委员会的有关要求，特制定本章程。</w:t>
      </w:r>
    </w:p>
    <w:p w14:paraId="3DBD76DB">
      <w:pPr>
        <w:spacing w:line="440" w:lineRule="exact"/>
        <w:ind w:firstLine="562" w:firstLineChars="200"/>
        <w:jc w:val="center"/>
        <w:rPr>
          <w:rFonts w:hint="eastAsia" w:asciiTheme="minorEastAsia" w:hAnsiTheme="minorEastAsia"/>
          <w:b/>
          <w:bCs/>
          <w:color w:val="auto"/>
          <w:sz w:val="28"/>
          <w:szCs w:val="28"/>
        </w:rPr>
      </w:pPr>
      <w:r>
        <w:rPr>
          <w:rFonts w:hint="eastAsia" w:asciiTheme="minorEastAsia" w:hAnsiTheme="minorEastAsia"/>
          <w:b/>
          <w:bCs/>
          <w:color w:val="auto"/>
          <w:sz w:val="28"/>
          <w:szCs w:val="28"/>
        </w:rPr>
        <w:t>第一章 总则</w:t>
      </w:r>
    </w:p>
    <w:p w14:paraId="504727E2">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第一条</w:t>
      </w:r>
      <w:r>
        <w:rPr>
          <w:rFonts w:hint="eastAsia" w:asciiTheme="minorEastAsia" w:hAnsiTheme="minorEastAsia"/>
          <w:color w:val="auto"/>
          <w:sz w:val="28"/>
          <w:szCs w:val="28"/>
        </w:rPr>
        <w:t xml:space="preserve"> 为进一步促进教学管理工作的科学化、规范化和民主化，提高教学管理水平、教学质量、办学效益和人才培养质量，推动体育部的教学管理、教学建设和教学改革，体育部决定成立体育部教学指导委员会（以下简称教学指导委员会）。为了便于教学指导委员会开展工作，特制定本章程。</w:t>
      </w:r>
    </w:p>
    <w:p w14:paraId="21904D69">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第二条</w:t>
      </w:r>
      <w:r>
        <w:rPr>
          <w:rFonts w:hint="eastAsia" w:asciiTheme="minorEastAsia" w:hAnsiTheme="minorEastAsia"/>
          <w:color w:val="auto"/>
          <w:sz w:val="28"/>
          <w:szCs w:val="28"/>
        </w:rPr>
        <w:t xml:space="preserve"> 教学指导委员会是对体育部教学工作进行研究、指导、审议、评估以及提供咨询的专家组织，在体育部统一领导和监督下开展工作。</w:t>
      </w:r>
    </w:p>
    <w:p w14:paraId="7A5A96BB">
      <w:pPr>
        <w:spacing w:line="440" w:lineRule="exact"/>
        <w:ind w:firstLine="562" w:firstLineChars="200"/>
        <w:jc w:val="center"/>
        <w:rPr>
          <w:rFonts w:hint="eastAsia" w:asciiTheme="minorEastAsia" w:hAnsiTheme="minorEastAsia"/>
          <w:b/>
          <w:bCs/>
          <w:color w:val="auto"/>
          <w:sz w:val="28"/>
          <w:szCs w:val="28"/>
        </w:rPr>
      </w:pPr>
      <w:r>
        <w:rPr>
          <w:rFonts w:hint="eastAsia" w:asciiTheme="minorEastAsia" w:hAnsiTheme="minorEastAsia"/>
          <w:b/>
          <w:bCs/>
          <w:color w:val="auto"/>
          <w:sz w:val="28"/>
          <w:szCs w:val="28"/>
        </w:rPr>
        <w:t>第二章 组成</w:t>
      </w:r>
    </w:p>
    <w:p w14:paraId="580FF273">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第三条</w:t>
      </w:r>
      <w:r>
        <w:rPr>
          <w:rFonts w:hint="eastAsia" w:asciiTheme="minorEastAsia" w:hAnsiTheme="minorEastAsia"/>
          <w:color w:val="auto"/>
          <w:sz w:val="28"/>
          <w:szCs w:val="28"/>
        </w:rPr>
        <w:t xml:space="preserve"> 成员构成</w:t>
      </w:r>
    </w:p>
    <w:p w14:paraId="761C79C7">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湖南女子学院教学指导委员会章程（修订）》第一章第二条：“各系（部）可参考本章程，根据系（部）具体情况成立系（部）教学指导委员会或专业建设委员会指导本系（部）的教学工作，同时报教务处备案。”</w:t>
      </w:r>
    </w:p>
    <w:p w14:paraId="3251014E">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湖南女子学院教学指导委员会章程（修订）》第二章第四条：“教学指导委员会委员必须思想政治素质好、学术水平高、教学或教学管理经验丰富、作风正派、身体健康并具有高级以上职称。原则上由主管教学工作副校长、教务处处长、教学质量评估处处长、教学督导团副团长、学生工作部（处）长、人事处处长、招生就业处处长、财务处处长、团委书记、系（部）主任组成。主管教学工作副校长担任委员会主任。”</w:t>
      </w:r>
    </w:p>
    <w:p w14:paraId="6D000877">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教务处《关于成立二级学院教学指导委员会的通知》第二条“二级学院教学指导委员会人员构成：原则上由学院院长、分管教学（含实践教学）副院长、教务办主任、系（部、室）主任及专业带头人组成。构成人员随岗位变动自动更替，同时报教务处备案。”</w:t>
      </w:r>
    </w:p>
    <w:p w14:paraId="6EB0FAB3">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根据以上文件条款，体育部教指委成员必须思想政治素质好、学术水平高、教学或教学管理经验丰富、作风正派、身体健康并具有高级以上职称或博士学位学历。体育部教指委成员原则上由主持工作体育部副主任、体育部综合办公室主任、形体训练教研室主任、大学体育教研室主任、体育竞赛教研室主任、学生体质健康监测中心主任及体育部督导</w:t>
      </w:r>
      <w:r>
        <w:rPr>
          <w:rFonts w:hint="eastAsia" w:asciiTheme="minorEastAsia" w:hAnsiTheme="minorEastAsia"/>
          <w:color w:val="auto"/>
          <w:sz w:val="28"/>
          <w:szCs w:val="28"/>
          <w:lang w:eastAsia="zh-CN"/>
        </w:rPr>
        <w:t>、</w:t>
      </w:r>
      <w:r>
        <w:rPr>
          <w:rFonts w:hint="eastAsia" w:asciiTheme="minorEastAsia" w:hAnsiTheme="minorEastAsia"/>
          <w:color w:val="auto"/>
          <w:sz w:val="28"/>
          <w:szCs w:val="28"/>
          <w:lang w:val="en-US" w:eastAsia="zh-CN"/>
        </w:rPr>
        <w:t>教授代表</w:t>
      </w:r>
      <w:r>
        <w:rPr>
          <w:rFonts w:hint="eastAsia" w:asciiTheme="minorEastAsia" w:hAnsiTheme="minorEastAsia"/>
          <w:color w:val="auto"/>
          <w:sz w:val="28"/>
          <w:szCs w:val="28"/>
        </w:rPr>
        <w:t>等人员构成。</w:t>
      </w:r>
    </w:p>
    <w:p w14:paraId="27B3951A">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第四条</w:t>
      </w:r>
      <w:r>
        <w:rPr>
          <w:rFonts w:hint="eastAsia" w:asciiTheme="minorEastAsia" w:hAnsiTheme="minorEastAsia"/>
          <w:color w:val="auto"/>
          <w:sz w:val="28"/>
          <w:szCs w:val="28"/>
        </w:rPr>
        <w:t xml:space="preserve"> 教学指导委员会秘书处设体育部综合办公室。综合办公室主任担任秘书长，负责组织教学指导委员会的日常工作并向体育部报告工作情况。</w:t>
      </w:r>
    </w:p>
    <w:p w14:paraId="5D62AD2C">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第五条</w:t>
      </w:r>
      <w:r>
        <w:rPr>
          <w:rFonts w:hint="eastAsia" w:asciiTheme="minorEastAsia" w:hAnsiTheme="minorEastAsia"/>
          <w:color w:val="auto"/>
          <w:sz w:val="28"/>
          <w:szCs w:val="28"/>
        </w:rPr>
        <w:t xml:space="preserve"> 教学指导委员会成员实行任期制，每届教指委任期3年，委员最多可以连任2期。随工作调整，委员资格自动更替，更替后的委员会成员名单报请体育部部务会议审定。</w:t>
      </w:r>
    </w:p>
    <w:p w14:paraId="50B9EA74">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第六条</w:t>
      </w:r>
      <w:r>
        <w:rPr>
          <w:rFonts w:hint="eastAsia" w:asciiTheme="minorEastAsia" w:hAnsiTheme="minorEastAsia"/>
          <w:color w:val="auto"/>
          <w:sz w:val="28"/>
          <w:szCs w:val="28"/>
        </w:rPr>
        <w:t xml:space="preserve"> 教学指导委员会可根据教学工作需要，临时设立工作职能小组参与会议，其成员不限于委员会委员，可根据实际需要纳入院内其他议事所涉人员和行业代表。</w:t>
      </w:r>
    </w:p>
    <w:p w14:paraId="424B7F5E">
      <w:pPr>
        <w:spacing w:line="440" w:lineRule="exact"/>
        <w:ind w:firstLine="562" w:firstLineChars="200"/>
        <w:jc w:val="center"/>
        <w:rPr>
          <w:rFonts w:hint="eastAsia" w:asciiTheme="minorEastAsia" w:hAnsiTheme="minorEastAsia"/>
          <w:b/>
          <w:bCs/>
          <w:color w:val="auto"/>
          <w:sz w:val="28"/>
          <w:szCs w:val="28"/>
        </w:rPr>
      </w:pPr>
      <w:r>
        <w:rPr>
          <w:rFonts w:hint="eastAsia" w:asciiTheme="minorEastAsia" w:hAnsiTheme="minorEastAsia"/>
          <w:b/>
          <w:bCs/>
          <w:color w:val="auto"/>
          <w:sz w:val="28"/>
          <w:szCs w:val="28"/>
        </w:rPr>
        <w:t>第三章 性质、职责及权力</w:t>
      </w:r>
    </w:p>
    <w:p w14:paraId="7ED6C0C2">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第七条</w:t>
      </w:r>
      <w:r>
        <w:rPr>
          <w:rFonts w:hint="eastAsia" w:asciiTheme="minorEastAsia" w:hAnsiTheme="minorEastAsia"/>
          <w:color w:val="auto"/>
          <w:sz w:val="28"/>
          <w:szCs w:val="28"/>
        </w:rPr>
        <w:t xml:space="preserve"> 教务处《关于成立二级学院教学指导委员会的通知》规定：“二级学院教学指导委员会工作内容：主要指导本学院教学管理与教学基本建设，具体职能职责可参考《湖南女子学院教学指导委员会章程》。”根据本条通知精神，特对体育部教指委的工作性质、职责及权力规定如下：</w:t>
      </w:r>
    </w:p>
    <w:p w14:paraId="61038D13">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体育部教指委是体育部聘请并领导的指导体育部本科教育教学工作的最高专家组织，具有非常设机构的性质。</w:t>
      </w:r>
    </w:p>
    <w:p w14:paraId="30E9AFCA">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教指委全面贯彻党的教育方针，坚持马克思主义指导地位，坚持中国特色社会主义教育发展道路，坚持“以本为本”，推进“四个回归”，落实立德树人根本任务，围绕全面提高体育部人才培养能力，充分发挥“参谋部”“咨询团”“指导组”“推动队”作用，加快建设高水平本科教育，培养德智体美劳全面发展的社会主义建设者和接班人。</w:t>
      </w:r>
    </w:p>
    <w:p w14:paraId="1AAD39BA">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教指委根据国家、学校有关教育教学的政策，接受体育部委托，开展体育部制度审议、专业教学指导、项目评审、教学咨询、专业认证与评估等工作，具体工作主要为：</w:t>
      </w:r>
    </w:p>
    <w:p w14:paraId="0833EB5E">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研究、论证和审议体育部中长期教学发展规划。</w:t>
      </w:r>
    </w:p>
    <w:p w14:paraId="421A0097">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审议有关教学基本建设与教学管理的重要制度。</w:t>
      </w:r>
    </w:p>
    <w:p w14:paraId="6ED83A5A">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研究、审议并指导体育部师资队伍、专业、课程、实验、教材、基地等基本建设事宜；审议人才培养方案、教学计划、教学大纲。</w:t>
      </w:r>
    </w:p>
    <w:p w14:paraId="75338F96">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组织开展体育部教师教学能力提升培训、教学研讨和经验交流。</w:t>
      </w:r>
    </w:p>
    <w:p w14:paraId="78CAECE2">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开展体育部本科专业设置评议与咨询，指导体育部各专业开展一流本科专业建设、课程建设与教学成果申报。</w:t>
      </w:r>
    </w:p>
    <w:p w14:paraId="3FA6F9E4">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指导开展课堂教学改革，推进优质教育教学资源开放共享，推广优秀教学成果，推动高等学校形成良好的教育教学秩序。</w:t>
      </w:r>
    </w:p>
    <w:p w14:paraId="78404A8D">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推进体育部各专业人才培养标准体系建设，建立教学质量体系实施细则与评价体系、加强体育部教学质量文化建设。</w:t>
      </w:r>
    </w:p>
    <w:p w14:paraId="18C514CB">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承担体育部委托的教学项目、教学成果及其他教学项目推选评审工作。</w:t>
      </w:r>
    </w:p>
    <w:p w14:paraId="494529AE">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经体育部研究，应由教学指导委员会审议的其他事项。</w:t>
      </w:r>
    </w:p>
    <w:p w14:paraId="34B85AD7">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委员享有下列权利：</w:t>
      </w:r>
    </w:p>
    <w:p w14:paraId="4DB1DDFB">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出席教指委会议，行使审议权和表决权。</w:t>
      </w:r>
    </w:p>
    <w:p w14:paraId="3A0B0A3E">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参加教指委的各种调研、评估、评审、评议、咨询等活动。</w:t>
      </w:r>
    </w:p>
    <w:p w14:paraId="1DE75761">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知晓教指委有关规定、决定和意见，依照规定查阅相关资料。</w:t>
      </w:r>
    </w:p>
    <w:p w14:paraId="29404961">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对体育部教学相关工作提出意见和建议。</w:t>
      </w:r>
    </w:p>
    <w:p w14:paraId="72E087E2">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体育部为教学指导委员会工作的开展提供必要的工作经费和工作条件。</w:t>
      </w:r>
    </w:p>
    <w:p w14:paraId="247894B1">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委员必须履行下列义务：</w:t>
      </w:r>
    </w:p>
    <w:p w14:paraId="2184BAC9">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以严谨、科学、负责的态度，按时完成教指委安排的各项工作。</w:t>
      </w:r>
    </w:p>
    <w:p w14:paraId="09DFA356">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公正廉明，自觉抵制不正之风。不得在行使教指委委员权力时候获取不正当的收益。</w:t>
      </w:r>
    </w:p>
    <w:p w14:paraId="33BBE29B">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严格遵守保密纪律，不得泄露工作接触到的需要保密的工作信息。</w:t>
      </w:r>
    </w:p>
    <w:p w14:paraId="0B0C4FD3">
      <w:pPr>
        <w:spacing w:line="440" w:lineRule="exact"/>
        <w:ind w:firstLine="562" w:firstLineChars="200"/>
        <w:jc w:val="center"/>
        <w:rPr>
          <w:rFonts w:hint="eastAsia" w:asciiTheme="minorEastAsia" w:hAnsiTheme="minorEastAsia"/>
          <w:b/>
          <w:bCs/>
          <w:color w:val="auto"/>
          <w:sz w:val="28"/>
          <w:szCs w:val="28"/>
        </w:rPr>
      </w:pPr>
      <w:r>
        <w:rPr>
          <w:rFonts w:hint="eastAsia" w:asciiTheme="minorEastAsia" w:hAnsiTheme="minorEastAsia"/>
          <w:b/>
          <w:bCs/>
          <w:color w:val="auto"/>
          <w:sz w:val="28"/>
          <w:szCs w:val="28"/>
        </w:rPr>
        <w:t>第四章 工作机制</w:t>
      </w:r>
    </w:p>
    <w:p w14:paraId="2B7642EA">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 xml:space="preserve">第八条 </w:t>
      </w:r>
      <w:r>
        <w:rPr>
          <w:rFonts w:hint="eastAsia" w:asciiTheme="minorEastAsia" w:hAnsiTheme="minorEastAsia"/>
          <w:color w:val="auto"/>
          <w:sz w:val="28"/>
          <w:szCs w:val="28"/>
        </w:rPr>
        <w:t>教学指导委员会原则上每学期召开两次全体会议，必要时可临时召开全体或部分委员参加的专门会议。</w:t>
      </w:r>
    </w:p>
    <w:p w14:paraId="087A5894">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 xml:space="preserve">第九条 </w:t>
      </w:r>
      <w:r>
        <w:rPr>
          <w:rFonts w:hint="eastAsia" w:asciiTheme="minorEastAsia" w:hAnsiTheme="minorEastAsia"/>
          <w:color w:val="auto"/>
          <w:sz w:val="28"/>
          <w:szCs w:val="28"/>
        </w:rPr>
        <w:t>教学指导委员会会议须1/2以上委员出席方为有效，会议需要议决重大事项时，须2/3以上委员出席，并采取无记名投票方式进行表决，同意票数达到出席会议委员1/2以上方为有效。</w:t>
      </w:r>
    </w:p>
    <w:p w14:paraId="62B73BD0">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 xml:space="preserve">第十条 </w:t>
      </w:r>
      <w:r>
        <w:rPr>
          <w:rFonts w:hint="eastAsia" w:asciiTheme="minorEastAsia" w:hAnsiTheme="minorEastAsia"/>
          <w:color w:val="auto"/>
          <w:sz w:val="28"/>
          <w:szCs w:val="28"/>
        </w:rPr>
        <w:t>教学指导委员会委员在任期间，要积极关心体育部的建设与发展，经常深入教学第一线，进行调查研究，切实掌握第一手资料，认真完成所承担的任务，主动向体育部教学指导委员会反映情况、提出建议，并在各项教学工作中发挥积极的作用。</w:t>
      </w:r>
    </w:p>
    <w:p w14:paraId="6B6FC2B2">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第十一条</w:t>
      </w:r>
      <w:r>
        <w:rPr>
          <w:rFonts w:hint="eastAsia" w:asciiTheme="minorEastAsia" w:hAnsiTheme="minorEastAsia"/>
          <w:color w:val="auto"/>
          <w:sz w:val="28"/>
          <w:szCs w:val="28"/>
        </w:rPr>
        <w:t xml:space="preserve"> 教学指导委员会委员不得无故缺席教学指导委员会会议，不能出席者应事先向教学指导委员会秘书处请假。委员未出席教学指导委员会会议的，视为放弃在该次会议上的投票权利。</w:t>
      </w:r>
    </w:p>
    <w:p w14:paraId="10EFCD74">
      <w:pPr>
        <w:spacing w:line="440" w:lineRule="exact"/>
        <w:ind w:firstLine="4760" w:firstLineChars="1700"/>
        <w:rPr>
          <w:rFonts w:hint="eastAsia" w:asciiTheme="minorEastAsia" w:hAnsiTheme="minorEastAsia"/>
          <w:color w:val="auto"/>
          <w:sz w:val="28"/>
          <w:szCs w:val="28"/>
        </w:rPr>
      </w:pPr>
    </w:p>
    <w:p w14:paraId="1DFC64C2">
      <w:pPr>
        <w:spacing w:line="440" w:lineRule="exact"/>
        <w:ind w:firstLine="7000" w:firstLineChars="2500"/>
        <w:rPr>
          <w:rFonts w:hint="eastAsia" w:asciiTheme="minorEastAsia" w:hAnsiTheme="minorEastAsia"/>
          <w:color w:val="auto"/>
          <w:sz w:val="28"/>
          <w:szCs w:val="28"/>
        </w:rPr>
      </w:pPr>
      <w:r>
        <w:rPr>
          <w:rFonts w:hint="eastAsia" w:asciiTheme="minorEastAsia" w:hAnsiTheme="minorEastAsia"/>
          <w:color w:val="auto"/>
          <w:sz w:val="28"/>
          <w:szCs w:val="28"/>
        </w:rPr>
        <w:t>体育部</w:t>
      </w:r>
    </w:p>
    <w:p w14:paraId="48F62AA9">
      <w:pPr>
        <w:spacing w:line="440" w:lineRule="exact"/>
        <w:ind w:firstLine="6720" w:firstLineChars="2400"/>
        <w:rPr>
          <w:rFonts w:hint="default" w:asciiTheme="minorEastAsia" w:hAnsiTheme="minorEastAsia" w:eastAsiaTheme="minorEastAsia"/>
          <w:color w:val="auto"/>
          <w:sz w:val="28"/>
          <w:szCs w:val="28"/>
          <w:lang w:val="en-US" w:eastAsia="zh-CN"/>
        </w:rPr>
      </w:pPr>
      <w:r>
        <w:rPr>
          <w:rFonts w:hint="eastAsia" w:asciiTheme="minorEastAsia" w:hAnsiTheme="minorEastAsia"/>
          <w:color w:val="auto"/>
          <w:sz w:val="28"/>
          <w:szCs w:val="28"/>
          <w:lang w:val="en-US" w:eastAsia="zh-CN"/>
        </w:rPr>
        <w:t>2025年3月</w:t>
      </w:r>
    </w:p>
    <w:p w14:paraId="12C1A5B9">
      <w:pPr>
        <w:spacing w:line="440" w:lineRule="exact"/>
        <w:ind w:firstLine="560" w:firstLineChars="200"/>
        <w:rPr>
          <w:rFonts w:hint="eastAsia" w:asciiTheme="minorEastAsia" w:hAnsiTheme="minorEastAsia"/>
          <w:color w:val="auto"/>
          <w:sz w:val="28"/>
          <w:szCs w:val="28"/>
        </w:rPr>
      </w:pPr>
    </w:p>
    <w:p w14:paraId="68897BEF">
      <w:pPr>
        <w:pStyle w:val="12"/>
        <w:rPr>
          <w:rFonts w:hint="eastAsia" w:asciiTheme="minorEastAsia" w:hAnsiTheme="minorEastAsia"/>
          <w:color w:val="auto"/>
          <w:sz w:val="28"/>
          <w:szCs w:val="28"/>
        </w:rPr>
      </w:pPr>
    </w:p>
    <w:p w14:paraId="2FAC4D05">
      <w:pPr>
        <w:rPr>
          <w:rFonts w:hint="eastAsia" w:asciiTheme="minorEastAsia" w:hAnsiTheme="minorEastAsia"/>
          <w:color w:val="auto"/>
          <w:sz w:val="28"/>
          <w:szCs w:val="28"/>
        </w:rPr>
      </w:pPr>
    </w:p>
    <w:p w14:paraId="4D7BE9B1">
      <w:pPr>
        <w:pStyle w:val="12"/>
        <w:rPr>
          <w:rFonts w:hint="eastAsia"/>
        </w:rPr>
      </w:pPr>
    </w:p>
    <w:p w14:paraId="2DC52F19">
      <w:pPr>
        <w:pStyle w:val="12"/>
        <w:rPr>
          <w:rFonts w:ascii="Times New Roman" w:hAnsi="Times New Roman" w:cs="Times New Roman"/>
          <w:color w:val="auto"/>
          <w:sz w:val="28"/>
          <w:szCs w:val="28"/>
        </w:rPr>
      </w:pPr>
    </w:p>
    <w:p w14:paraId="772A81CA">
      <w:pPr>
        <w:pStyle w:val="3"/>
        <w:keepNext/>
        <w:keepLines/>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Times New Roman" w:hAnsi="Times New Roman" w:eastAsia="黑体" w:cstheme="minorBidi"/>
          <w:b/>
          <w:color w:val="auto"/>
          <w:kern w:val="2"/>
          <w:sz w:val="36"/>
          <w:szCs w:val="36"/>
          <w:lang w:val="en-US" w:eastAsia="zh-CN" w:bidi="ar-SA"/>
        </w:rPr>
      </w:pPr>
    </w:p>
    <w:p w14:paraId="1025EDC6">
      <w:pPr>
        <w:rPr>
          <w:rFonts w:hint="eastAsia"/>
          <w:lang w:val="en-US" w:eastAsia="zh-CN"/>
        </w:rPr>
      </w:pPr>
    </w:p>
    <w:p w14:paraId="6EF3F210">
      <w:pPr>
        <w:pStyle w:val="3"/>
        <w:keepNext/>
        <w:keepLines/>
        <w:pageBreakBefore w:val="0"/>
        <w:widowControl w:val="0"/>
        <w:kinsoku/>
        <w:wordWrap/>
        <w:overflowPunct/>
        <w:topLinePunct w:val="0"/>
        <w:autoSpaceDE/>
        <w:autoSpaceDN/>
        <w:bidi w:val="0"/>
        <w:adjustRightInd/>
        <w:snapToGrid/>
        <w:spacing w:before="313" w:beforeLines="100" w:after="313" w:afterLines="100"/>
        <w:ind w:firstLine="2168" w:firstLineChars="600"/>
        <w:jc w:val="both"/>
        <w:textAlignment w:val="auto"/>
        <w:rPr>
          <w:rFonts w:hint="eastAsia"/>
          <w:lang w:val="en-US" w:eastAsia="zh-CN"/>
        </w:rPr>
      </w:pPr>
      <w:bookmarkStart w:id="2" w:name="_Toc18825"/>
      <w:r>
        <w:rPr>
          <w:rFonts w:hint="eastAsia" w:ascii="Times New Roman" w:hAnsi="Times New Roman" w:eastAsia="黑体" w:cstheme="minorBidi"/>
          <w:b/>
          <w:color w:val="auto"/>
          <w:kern w:val="2"/>
          <w:sz w:val="36"/>
          <w:szCs w:val="36"/>
          <w:lang w:val="en-US" w:eastAsia="zh-CN" w:bidi="ar-SA"/>
        </w:rPr>
        <w:t>体育部课程建设管理办法</w:t>
      </w:r>
      <w:bookmarkEnd w:id="2"/>
    </w:p>
    <w:p w14:paraId="003037BD">
      <w:pPr>
        <w:spacing w:line="440" w:lineRule="exact"/>
        <w:ind w:firstLine="3092" w:firstLineChars="1100"/>
        <w:jc w:val="both"/>
        <w:rPr>
          <w:rFonts w:hint="eastAsia" w:asciiTheme="minorEastAsia" w:hAnsiTheme="minorEastAsia"/>
          <w:color w:val="auto"/>
          <w:sz w:val="28"/>
          <w:szCs w:val="28"/>
        </w:rPr>
      </w:pPr>
      <w:r>
        <w:rPr>
          <w:rFonts w:hint="eastAsia" w:asciiTheme="minorEastAsia" w:hAnsiTheme="minorEastAsia"/>
          <w:b/>
          <w:bCs/>
          <w:color w:val="auto"/>
          <w:sz w:val="28"/>
          <w:szCs w:val="28"/>
        </w:rPr>
        <w:t>第一章 总则</w:t>
      </w:r>
    </w:p>
    <w:p w14:paraId="52BD442D">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第一条</w:t>
      </w:r>
      <w:r>
        <w:rPr>
          <w:rFonts w:hint="eastAsia" w:asciiTheme="minorEastAsia" w:hAnsiTheme="minorEastAsia"/>
          <w:color w:val="auto"/>
          <w:sz w:val="28"/>
          <w:szCs w:val="28"/>
        </w:rPr>
        <w:t xml:space="preserve"> 课程建设是最基本的教学建设任务，是实现教学计划、不断提高人才培养质量的重要保证。为加强体育部课程建设管理工作，推进优质教学资源建设，促进教育教学质量不断提高，特制定体育部课程建设管理办法。</w:t>
      </w:r>
    </w:p>
    <w:p w14:paraId="1873A5C8">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第二条</w:t>
      </w:r>
      <w:r>
        <w:rPr>
          <w:rFonts w:hint="eastAsia" w:asciiTheme="minorEastAsia" w:hAnsiTheme="minorEastAsia"/>
          <w:color w:val="auto"/>
          <w:sz w:val="28"/>
          <w:szCs w:val="28"/>
        </w:rPr>
        <w:t xml:space="preserve"> 课程建设须遵循高等教育发展的基本规律，坚持立德树人根本任务，把思想政治工作贯穿教育教学全过程，实现全员育人、全程育人、全方位育人，强化以学生为本的教育理念，以提高应用型人才培养质量为目标，深入开展课程结构、教学内容、教学方法、教材、管理机制等方面的改革，努力夯实基础，充实内涵，培育特色，不断提高课程建设整体水平。</w:t>
      </w:r>
    </w:p>
    <w:p w14:paraId="4D25E819">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第三条</w:t>
      </w:r>
      <w:r>
        <w:rPr>
          <w:rFonts w:hint="eastAsia" w:asciiTheme="minorEastAsia" w:hAnsiTheme="minorEastAsia"/>
          <w:color w:val="auto"/>
          <w:sz w:val="28"/>
          <w:szCs w:val="28"/>
        </w:rPr>
        <w:t xml:space="preserve"> 课程建设应遵循规范性和创新性、科学性和前沿性、一般性和重点性相结合的原则。既坚持规范化管理，又要大胆创新；既坚持可促进性，又要及时反映学科发展的最新成果；既要对所有课程提出共同性要求，又要发挥重点课程的示范效应。</w:t>
      </w:r>
    </w:p>
    <w:p w14:paraId="3A3FF635">
      <w:pPr>
        <w:spacing w:line="440" w:lineRule="exact"/>
        <w:ind w:firstLine="562" w:firstLineChars="200"/>
        <w:jc w:val="center"/>
        <w:rPr>
          <w:rFonts w:hint="eastAsia" w:asciiTheme="minorEastAsia" w:hAnsiTheme="minorEastAsia"/>
          <w:b/>
          <w:bCs/>
          <w:color w:val="auto"/>
          <w:sz w:val="28"/>
          <w:szCs w:val="28"/>
        </w:rPr>
      </w:pPr>
      <w:r>
        <w:rPr>
          <w:rFonts w:hint="eastAsia" w:asciiTheme="minorEastAsia" w:hAnsiTheme="minorEastAsia"/>
          <w:b/>
          <w:bCs/>
          <w:color w:val="auto"/>
          <w:sz w:val="28"/>
          <w:szCs w:val="28"/>
        </w:rPr>
        <w:t>第二章 课程建设的组织与管理</w:t>
      </w:r>
    </w:p>
    <w:p w14:paraId="79853E34">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第四条</w:t>
      </w:r>
      <w:r>
        <w:rPr>
          <w:rFonts w:hint="eastAsia" w:asciiTheme="minorEastAsia" w:hAnsiTheme="minorEastAsia"/>
          <w:color w:val="auto"/>
          <w:sz w:val="28"/>
          <w:szCs w:val="28"/>
        </w:rPr>
        <w:t xml:space="preserve"> 全体育部的课程建设工作在主持工作体育部副主任的领导下，由体育部教学指导委员会对全体育部的课程建设进行全面指导，各教研室、中心负责组织与实施。</w:t>
      </w:r>
    </w:p>
    <w:p w14:paraId="777C2541">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第五条</w:t>
      </w:r>
      <w:r>
        <w:rPr>
          <w:rFonts w:hint="eastAsia" w:asciiTheme="minorEastAsia" w:hAnsiTheme="minorEastAsia"/>
          <w:color w:val="auto"/>
          <w:sz w:val="28"/>
          <w:szCs w:val="28"/>
        </w:rPr>
        <w:t xml:space="preserve"> 体育部教学指导委员会的主要职责：</w:t>
      </w:r>
    </w:p>
    <w:p w14:paraId="259C7A75">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审定全体育部课程建设规划。</w:t>
      </w:r>
    </w:p>
    <w:p w14:paraId="660FD74D">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对体育部课程建设中的重大改革提出咨询意见。</w:t>
      </w:r>
    </w:p>
    <w:p w14:paraId="07D32292">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评审体育部推荐申报的各类课程项目。</w:t>
      </w:r>
    </w:p>
    <w:p w14:paraId="1067951F">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课程建设其他方面的指导工作。</w:t>
      </w:r>
    </w:p>
    <w:p w14:paraId="1C4B6069">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第六条</w:t>
      </w:r>
      <w:r>
        <w:rPr>
          <w:rFonts w:hint="eastAsia" w:asciiTheme="minorEastAsia" w:hAnsiTheme="minorEastAsia"/>
          <w:color w:val="auto"/>
          <w:sz w:val="28"/>
          <w:szCs w:val="28"/>
        </w:rPr>
        <w:t xml:space="preserve"> 各教研室、中心的主要职责：</w:t>
      </w:r>
    </w:p>
    <w:p w14:paraId="743294CD">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根据体育部课程建设规划的总体要求，结合本教研室、中心实际情况，制订课程建设规划。</w:t>
      </w:r>
    </w:p>
    <w:p w14:paraId="2D76B48F">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不断完善课程教学条件，规范教学管理，积极开展教学研究，更新教学内容，改进教学方法和教学手段，提高课程建设水平。</w:t>
      </w:r>
    </w:p>
    <w:p w14:paraId="34B149FA">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组织课程的各类评价工作。</w:t>
      </w:r>
    </w:p>
    <w:p w14:paraId="686CC6A9">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对新开课程进行审查，落实人才培养计划的课程开设任务。</w:t>
      </w:r>
    </w:p>
    <w:p w14:paraId="4BAE66AF">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负责课程的档案管理。</w:t>
      </w:r>
    </w:p>
    <w:p w14:paraId="7A5906E6">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组织申报体育部及以上各类课程项目。</w:t>
      </w:r>
    </w:p>
    <w:p w14:paraId="37476379">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体育部赋予的其他课程建设工作。</w:t>
      </w:r>
    </w:p>
    <w:p w14:paraId="0650C7BB">
      <w:pPr>
        <w:spacing w:line="440" w:lineRule="exact"/>
        <w:ind w:firstLine="562" w:firstLineChars="200"/>
        <w:jc w:val="center"/>
        <w:rPr>
          <w:rFonts w:hint="eastAsia" w:asciiTheme="minorEastAsia" w:hAnsiTheme="minorEastAsia"/>
          <w:b/>
          <w:bCs/>
          <w:color w:val="auto"/>
          <w:sz w:val="28"/>
          <w:szCs w:val="28"/>
        </w:rPr>
      </w:pPr>
      <w:r>
        <w:rPr>
          <w:rFonts w:hint="eastAsia" w:asciiTheme="minorEastAsia" w:hAnsiTheme="minorEastAsia"/>
          <w:b/>
          <w:bCs/>
          <w:color w:val="auto"/>
          <w:sz w:val="28"/>
          <w:szCs w:val="28"/>
        </w:rPr>
        <w:t>第三章 课程建设的内容</w:t>
      </w:r>
    </w:p>
    <w:p w14:paraId="02CDC26C">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第七条</w:t>
      </w:r>
      <w:r>
        <w:rPr>
          <w:rFonts w:hint="eastAsia" w:asciiTheme="minorEastAsia" w:hAnsiTheme="minorEastAsia"/>
          <w:color w:val="auto"/>
          <w:sz w:val="28"/>
          <w:szCs w:val="28"/>
        </w:rPr>
        <w:t xml:space="preserve"> 课程建设内容广泛，重点包括以下几个方面：</w:t>
      </w:r>
    </w:p>
    <w:p w14:paraId="2CD90F09">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制订和实施课程建设规划：各教研室、中心应根据体育部发展规划和专业建设要求，制订课程建设规划，合理安排各级各类课程建设工作；采取有效措施，引导教师、教学管理人员和学生积极参加课程建设，要求正高职称教师上讲台和承担课程建设工作。</w:t>
      </w:r>
    </w:p>
    <w:p w14:paraId="1EC37EDB">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教学队伍建设：制定周密、可行的师资建设计划，合理引进高层次人才，注重青年教师的培养与成长，加强师德师风教育，积极培育青年教学能手、优秀教师，打造一批优秀的教学团队。各教研室、中心形成由学术造诣较高、具有丰富授课经验的教授或副教授带领的结构合理、人员稳定、教学水平高、教学效果好的教师梯队。</w:t>
      </w:r>
    </w:p>
    <w:p w14:paraId="374DED8A">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教学内容和课程体系改革：课程设置应科学合理，符合人才培养目标要求，体现人才培养特色。加强“模块化”课程体系设计论证，准确定位课程在各专业课程体系和人才培养过程中的地位及作用，积极探索建立和完善符合区域经济社会发展要求、对接产业（行业）需求的课程体系。教学内容设计要贯彻“精、深、新、实、广”等方面的基本要求，做到精选教学内容，及时反映学科领域的最新成果，积极整合优秀教改成果，体现社会对人才培养的新需求。积极开展课程思政，深入挖掘</w:t>
      </w:r>
      <w:r>
        <w:rPr>
          <w:rFonts w:hint="eastAsia" w:asciiTheme="minorEastAsia" w:hAnsiTheme="minorEastAsia"/>
          <w:color w:val="auto"/>
          <w:sz w:val="28"/>
          <w:szCs w:val="28"/>
          <w:lang w:val="en-US" w:eastAsia="zh-CN"/>
        </w:rPr>
        <w:t>体育</w:t>
      </w:r>
      <w:r>
        <w:rPr>
          <w:rFonts w:hint="eastAsia" w:asciiTheme="minorEastAsia" w:hAnsiTheme="minorEastAsia"/>
          <w:color w:val="auto"/>
          <w:sz w:val="28"/>
          <w:szCs w:val="28"/>
        </w:rPr>
        <w:t>课程所蕴含的思政元素和所承载的思政教育功能，将知识传授和价值引领、科学精神融合起来。</w:t>
      </w:r>
    </w:p>
    <w:p w14:paraId="13385FF1">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教学方法和手段改革：合理运用现代教育信息技术，重视学生在教学活动中的主体地位，强调师生互动，注重对学生能力和素质的培养；根据不同的教学目标、教学内容、教学对象，因材施教，倡导启发式、研讨式、参与式等课程教学方法，促进学生积极思考，最大限度培养学生的综合能力，发展创造性思维。积极支持、鼓励教师合理使用先进技术手段进行教学与管理，鼓励将教学课件、授课录像等上网开放，实现优质教学资源共享。</w:t>
      </w:r>
    </w:p>
    <w:p w14:paraId="47371560">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教材选用与建设：教材选用必须坚持新、精、实的基本原则，根据教学大纲的目标和要求，积极选用近三年出版（修订或再版）的国家规划教材、行业规划教材、“面向21世纪课程教材”、教育部各专业教学指导委员会推荐教材和获得国家、省部级奖励的优秀教材。结合体育部学科专业优势和课程建设实际，支持教师开发一批校企合作教材，并鼓励教师申报校级以上统编教材。</w:t>
      </w:r>
    </w:p>
    <w:p w14:paraId="643B9F75">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加强实践教学：注重课程理论教学与实践教学相结合，课内教学与课外实践相结合。课程负责人、主讲教师应科学设计实践教学环节。改革实践教学的形式和内容，注重综合性、研究性和创新自主性实践项目的开发和建设；高度重视实训、实习等环节，注重培养学生的创新意识和综合实践能力。开展课内与课外学习一体化设计与实施，教师加强课外指导，支持学生参加课外学习和社团活动。不断完善实践教学平台，建立较稳定的实习基地。完善实践教学评价机制，确保实践教学效果。</w:t>
      </w:r>
    </w:p>
    <w:p w14:paraId="777F211E">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强化常规管理：不断规范第二课堂等各环节的管理，建立健全各类课程的教学大纲，定期开展课程建设质量检查，优化各级、各类课程建设专项计划项目的过程管理机制，全面提高课程建设质量。</w:t>
      </w:r>
    </w:p>
    <w:p w14:paraId="199331EF">
      <w:pPr>
        <w:spacing w:line="440" w:lineRule="exact"/>
        <w:ind w:firstLine="562" w:firstLineChars="200"/>
        <w:jc w:val="center"/>
        <w:rPr>
          <w:rFonts w:hint="eastAsia" w:asciiTheme="minorEastAsia" w:hAnsiTheme="minorEastAsia"/>
          <w:b/>
          <w:bCs/>
          <w:color w:val="auto"/>
          <w:sz w:val="28"/>
          <w:szCs w:val="28"/>
        </w:rPr>
      </w:pPr>
      <w:r>
        <w:rPr>
          <w:rFonts w:hint="eastAsia" w:asciiTheme="minorEastAsia" w:hAnsiTheme="minorEastAsia"/>
          <w:b/>
          <w:bCs/>
          <w:color w:val="auto"/>
          <w:sz w:val="28"/>
          <w:szCs w:val="28"/>
        </w:rPr>
        <w:t>第四章 新开设课程建设管理</w:t>
      </w:r>
    </w:p>
    <w:p w14:paraId="5712ED53">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 xml:space="preserve">第八条 </w:t>
      </w:r>
      <w:r>
        <w:rPr>
          <w:rFonts w:hint="eastAsia" w:asciiTheme="minorEastAsia" w:hAnsiTheme="minorEastAsia"/>
          <w:color w:val="auto"/>
          <w:sz w:val="28"/>
          <w:szCs w:val="28"/>
        </w:rPr>
        <w:t>新开设课程的建设原则和要求。新开设课程须符合院校人才培养的全局性理念和具体培养目标，为学生提供优质教学资源。</w:t>
      </w:r>
    </w:p>
    <w:p w14:paraId="1A2B51F7">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第九条</w:t>
      </w:r>
      <w:r>
        <w:rPr>
          <w:rFonts w:hint="eastAsia" w:asciiTheme="minorEastAsia" w:hAnsiTheme="minorEastAsia"/>
          <w:color w:val="auto"/>
          <w:sz w:val="28"/>
          <w:szCs w:val="28"/>
        </w:rPr>
        <w:t xml:space="preserve"> 各教研室、中心是课程建设的主体，在新开设课程时应进行论证，严格把关，充分重视课程教学梯队建设，确保课程合理性和稳定性，避免“因人设课”现象。</w:t>
      </w:r>
    </w:p>
    <w:p w14:paraId="27D87198">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第十条</w:t>
      </w:r>
      <w:r>
        <w:rPr>
          <w:rFonts w:hint="eastAsia" w:asciiTheme="minorEastAsia" w:hAnsiTheme="minorEastAsia"/>
          <w:color w:val="auto"/>
          <w:sz w:val="28"/>
          <w:szCs w:val="28"/>
        </w:rPr>
        <w:t xml:space="preserve"> 新开设课程在课程名称的选择上应切实反映教学内容，避免名不符实的课程出现。新开设课程要避免与原有课程在教学内容上相互重合。新开设课程尤其注意防止通识教育选修课程与核心课程之间，低年级与高年级的课程之间的教学内容重合。</w:t>
      </w:r>
    </w:p>
    <w:p w14:paraId="4071CB09">
      <w:pPr>
        <w:spacing w:line="440" w:lineRule="exact"/>
        <w:ind w:firstLine="562" w:firstLineChars="200"/>
        <w:jc w:val="center"/>
        <w:rPr>
          <w:rFonts w:hint="eastAsia" w:asciiTheme="minorEastAsia" w:hAnsiTheme="minorEastAsia"/>
          <w:b/>
          <w:bCs/>
          <w:color w:val="auto"/>
          <w:sz w:val="28"/>
          <w:szCs w:val="28"/>
        </w:rPr>
      </w:pPr>
      <w:r>
        <w:rPr>
          <w:rFonts w:hint="eastAsia" w:asciiTheme="minorEastAsia" w:hAnsiTheme="minorEastAsia"/>
          <w:b/>
          <w:bCs/>
          <w:color w:val="auto"/>
          <w:sz w:val="28"/>
          <w:szCs w:val="28"/>
        </w:rPr>
        <w:t>第五章 课程建设管理</w:t>
      </w:r>
    </w:p>
    <w:p w14:paraId="489C602E">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第十一条</w:t>
      </w:r>
      <w:r>
        <w:rPr>
          <w:rFonts w:hint="eastAsia" w:asciiTheme="minorEastAsia" w:hAnsiTheme="minorEastAsia"/>
          <w:color w:val="auto"/>
          <w:sz w:val="28"/>
          <w:szCs w:val="28"/>
        </w:rPr>
        <w:t xml:space="preserve"> 课程是实现人才培养目标的关键课程，着重培养学生在</w:t>
      </w:r>
      <w:r>
        <w:rPr>
          <w:rFonts w:hint="eastAsia" w:asciiTheme="minorEastAsia" w:hAnsiTheme="minorEastAsia"/>
          <w:color w:val="auto"/>
          <w:sz w:val="28"/>
          <w:szCs w:val="28"/>
          <w:lang w:val="en-US" w:eastAsia="zh-CN"/>
        </w:rPr>
        <w:t>体育运动</w:t>
      </w:r>
      <w:r>
        <w:rPr>
          <w:rFonts w:hint="eastAsia" w:asciiTheme="minorEastAsia" w:hAnsiTheme="minorEastAsia"/>
          <w:color w:val="auto"/>
          <w:sz w:val="28"/>
          <w:szCs w:val="28"/>
        </w:rPr>
        <w:t>领域的核心知识和核心能力，充分体现课程对人才培养的重要程度。</w:t>
      </w:r>
    </w:p>
    <w:p w14:paraId="7C0C2914">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第十二条</w:t>
      </w:r>
      <w:r>
        <w:rPr>
          <w:rFonts w:hint="eastAsia" w:asciiTheme="minorEastAsia" w:hAnsiTheme="minorEastAsia"/>
          <w:color w:val="auto"/>
          <w:sz w:val="28"/>
          <w:szCs w:val="28"/>
        </w:rPr>
        <w:t xml:space="preserve"> 各教研室、中心要根据体育部规划，制订本单位核心课程建设计划，全面组织课程教学和内容建设工作。</w:t>
      </w:r>
    </w:p>
    <w:p w14:paraId="7F85574C">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第十三条</w:t>
      </w:r>
      <w:r>
        <w:rPr>
          <w:rFonts w:hint="eastAsia" w:asciiTheme="minorEastAsia" w:hAnsiTheme="minorEastAsia"/>
          <w:color w:val="auto"/>
          <w:sz w:val="28"/>
          <w:szCs w:val="28"/>
        </w:rPr>
        <w:t xml:space="preserve"> 体育部逐步实施核心课程负责人制度，分批聘用具有良好师德师风、热爱本科教学工作、教学业绩突出，有较强的组织管理和协调能力的教师担任核心课程负责人，全面负责该课程的建设与管理。</w:t>
      </w:r>
    </w:p>
    <w:p w14:paraId="32CC099A">
      <w:pPr>
        <w:spacing w:line="440" w:lineRule="exact"/>
        <w:ind w:firstLine="562" w:firstLineChars="200"/>
        <w:jc w:val="center"/>
        <w:rPr>
          <w:rFonts w:hint="eastAsia" w:asciiTheme="minorEastAsia" w:hAnsiTheme="minorEastAsia"/>
          <w:b/>
          <w:bCs/>
          <w:color w:val="auto"/>
          <w:sz w:val="28"/>
          <w:szCs w:val="28"/>
        </w:rPr>
      </w:pPr>
      <w:r>
        <w:rPr>
          <w:rFonts w:hint="eastAsia" w:asciiTheme="minorEastAsia" w:hAnsiTheme="minorEastAsia"/>
          <w:b/>
          <w:bCs/>
          <w:color w:val="auto"/>
          <w:sz w:val="28"/>
          <w:szCs w:val="28"/>
        </w:rPr>
        <w:t>第六章 课程建设专项计划项目管理</w:t>
      </w:r>
    </w:p>
    <w:p w14:paraId="7B55B7C3">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第十四条</w:t>
      </w:r>
      <w:r>
        <w:rPr>
          <w:rFonts w:hint="eastAsia" w:asciiTheme="minorEastAsia" w:hAnsiTheme="minorEastAsia"/>
          <w:color w:val="auto"/>
          <w:sz w:val="28"/>
          <w:szCs w:val="28"/>
        </w:rPr>
        <w:t xml:space="preserve"> 体育部按年度定期发布课程建设专项计划，主要包括：</w:t>
      </w:r>
    </w:p>
    <w:p w14:paraId="06987831">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课程思政示范课：秉持“全面思政教育、立体思政教育、创新思政教育”理念，主动转变思路，开启“课程思政”建设，促进各类课程与思政教育有机融合，挖掘和充实各类课程的思政教育资源。</w:t>
      </w:r>
    </w:p>
    <w:p w14:paraId="2EC126DF">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资源共享课：以课程资源系统、丰富和适合网络传播为基本要求，为学习者提供运用现代信息技术加工处理，反映课程教学思想、教学内容、教学方法、教学过程的核心资源，构建适合在校学生及社会学习者进行在线学习和交流的网络学习环境，实施与共享资源相适应的课程教学内容、教学方法和考核方式改革。</w:t>
      </w:r>
    </w:p>
    <w:p w14:paraId="683F7767">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研讨课：主要针对课程开展教学内容、教学方法、教学手段、考核方式的改革，积极探索启发式、探究式、讨论式、参与式教学，全面体现师生互动、生生互动。</w:t>
      </w:r>
    </w:p>
    <w:p w14:paraId="786742A3">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其他课程开发计划：依据国家政策和高等教育改革新动向，灵活设置课程建设与开发项目。</w:t>
      </w:r>
    </w:p>
    <w:p w14:paraId="35F6E771">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第十五条</w:t>
      </w:r>
      <w:r>
        <w:rPr>
          <w:rFonts w:hint="eastAsia" w:asciiTheme="minorEastAsia" w:hAnsiTheme="minorEastAsia"/>
          <w:color w:val="auto"/>
          <w:sz w:val="28"/>
          <w:szCs w:val="28"/>
        </w:rPr>
        <w:t xml:space="preserve"> 各教研室、中心按照课程建设专项计划，并结合本单位课程建设情况分期、分批申报和建设。同一门课程在同一时期不得重复申报建设，但可分期、分阶段实施滚动建设和改革。</w:t>
      </w:r>
    </w:p>
    <w:p w14:paraId="4F70F1E3">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第十六条</w:t>
      </w:r>
      <w:r>
        <w:rPr>
          <w:rFonts w:hint="eastAsia" w:asciiTheme="minorEastAsia" w:hAnsiTheme="minorEastAsia"/>
          <w:color w:val="auto"/>
          <w:sz w:val="28"/>
          <w:szCs w:val="28"/>
        </w:rPr>
        <w:t xml:space="preserve"> 体育部课程建设项目由各教研室、中心推荐，体育部教学指导委员会组织评审，并报体育部审核立项、验收认定。</w:t>
      </w:r>
    </w:p>
    <w:p w14:paraId="63B00A56">
      <w:pPr>
        <w:spacing w:line="440" w:lineRule="exact"/>
        <w:ind w:firstLine="562" w:firstLineChars="200"/>
        <w:rPr>
          <w:rFonts w:hint="eastAsia" w:ascii="宋体" w:hAnsi="宋体" w:eastAsia="宋体" w:cs="宋体"/>
          <w:color w:val="auto"/>
          <w:sz w:val="28"/>
          <w:szCs w:val="28"/>
          <w:highlight w:val="none"/>
        </w:rPr>
      </w:pPr>
      <w:r>
        <w:rPr>
          <w:rFonts w:hint="eastAsia" w:asciiTheme="minorEastAsia" w:hAnsiTheme="minorEastAsia"/>
          <w:b/>
          <w:bCs/>
          <w:color w:val="auto"/>
          <w:sz w:val="28"/>
          <w:szCs w:val="28"/>
        </w:rPr>
        <w:t>第十七条</w:t>
      </w:r>
      <w:r>
        <w:rPr>
          <w:rFonts w:hint="eastAsia" w:asciiTheme="minorEastAsia" w:hAnsiTheme="minorEastAsia"/>
          <w:color w:val="auto"/>
          <w:sz w:val="28"/>
          <w:szCs w:val="28"/>
        </w:rPr>
        <w:t xml:space="preserve"> 课程建设专项计划由课程所在教研室、中心具体组织建设与实施</w:t>
      </w:r>
    </w:p>
    <w:p w14:paraId="0D32983B">
      <w:pPr>
        <w:pStyle w:val="13"/>
        <w:keepNext w:val="0"/>
        <w:keepLines w:val="0"/>
        <w:pageBreakBefore w:val="0"/>
        <w:widowControl w:val="0"/>
        <w:kinsoku/>
        <w:wordWrap/>
        <w:overflowPunct/>
        <w:topLinePunct w:val="0"/>
        <w:autoSpaceDE/>
        <w:autoSpaceDN/>
        <w:bidi w:val="0"/>
        <w:spacing w:after="0" w:line="460" w:lineRule="exact"/>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体育部</w:t>
      </w:r>
    </w:p>
    <w:p w14:paraId="358D2D97">
      <w:pPr>
        <w:pStyle w:val="13"/>
        <w:keepNext w:val="0"/>
        <w:keepLines w:val="0"/>
        <w:pageBreakBefore w:val="0"/>
        <w:widowControl w:val="0"/>
        <w:kinsoku/>
        <w:wordWrap/>
        <w:overflowPunct/>
        <w:topLinePunct w:val="0"/>
        <w:autoSpaceDE/>
        <w:autoSpaceDN/>
        <w:bidi w:val="0"/>
        <w:spacing w:after="0" w:line="460" w:lineRule="exact"/>
        <w:jc w:val="center"/>
        <w:textAlignment w:val="auto"/>
        <w:rPr>
          <w:rFonts w:hint="default" w:ascii="Times New Roman" w:hAnsi="Times New Roman" w:eastAsia="宋体" w:cs="Times New Roman"/>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lang w:val="en-US" w:eastAsia="zh-CN"/>
        </w:rPr>
        <w:t xml:space="preserve"> </w:t>
      </w:r>
      <w:r>
        <w:rPr>
          <w:rFonts w:hint="eastAsia"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w:t>
      </w:r>
      <w:r>
        <w:rPr>
          <w:rFonts w:hint="default" w:ascii="Times New Roman" w:hAnsi="Times New Roman" w:eastAsia="宋体" w:cs="Times New Roman"/>
          <w:color w:val="auto"/>
          <w:sz w:val="28"/>
          <w:szCs w:val="28"/>
          <w:highlight w:val="none"/>
          <w:lang w:val="en-US" w:eastAsia="zh-CN"/>
        </w:rPr>
        <w:t>2</w:t>
      </w:r>
      <w:r>
        <w:rPr>
          <w:rFonts w:hint="eastAsia"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Times New Roman" w:hAnsi="Times New Roman" w:eastAsia="宋体" w:cs="Times New Roman"/>
          <w:color w:val="auto"/>
          <w:sz w:val="28"/>
          <w:szCs w:val="28"/>
          <w:highlight w:val="none"/>
          <w:lang w:val="en-US" w:eastAsia="zh-CN"/>
        </w:rPr>
        <w:t>3月</w:t>
      </w:r>
    </w:p>
    <w:p w14:paraId="406DCF2B">
      <w:pPr>
        <w:rPr>
          <w:rFonts w:hint="default"/>
          <w:b/>
          <w:bCs/>
          <w:color w:val="auto"/>
          <w:lang w:val="en-US" w:eastAsia="zh-CN"/>
        </w:rPr>
      </w:pPr>
      <w:r>
        <w:rPr>
          <w:rFonts w:hint="default"/>
          <w:b/>
          <w:bCs/>
          <w:color w:val="auto"/>
          <w:lang w:val="en-US" w:eastAsia="zh-CN"/>
        </w:rPr>
        <w:br w:type="page"/>
      </w:r>
    </w:p>
    <w:p w14:paraId="7862A45A">
      <w:pPr>
        <w:pStyle w:val="3"/>
        <w:keepNext/>
        <w:keepLines/>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imes New Roman" w:hAnsi="Times New Roman" w:eastAsia="黑体" w:cstheme="minorBidi"/>
          <w:b/>
          <w:color w:val="auto"/>
          <w:kern w:val="2"/>
          <w:sz w:val="36"/>
          <w:szCs w:val="36"/>
          <w:lang w:val="en-US" w:eastAsia="zh-CN" w:bidi="ar-SA"/>
        </w:rPr>
      </w:pPr>
      <w:bookmarkStart w:id="3" w:name="_Toc5475"/>
      <w:r>
        <w:rPr>
          <w:rFonts w:hint="eastAsia" w:ascii="Times New Roman" w:hAnsi="Times New Roman" w:eastAsia="黑体" w:cstheme="minorBidi"/>
          <w:b/>
          <w:color w:val="auto"/>
          <w:kern w:val="2"/>
          <w:sz w:val="36"/>
          <w:szCs w:val="36"/>
          <w:lang w:val="en-US" w:eastAsia="zh-CN" w:bidi="ar-SA"/>
        </w:rPr>
        <w:t>体育部“课程思政”实施方案</w:t>
      </w:r>
      <w:bookmarkEnd w:id="3"/>
    </w:p>
    <w:p w14:paraId="630C6CEB">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为深入贯彻落实习近平总书记关于教育的重要论述和全国教育大会精神，全面推进体育部课程思政建设，促进思政教育与专业教学有机融合，进一步发挥</w:t>
      </w:r>
      <w:r>
        <w:rPr>
          <w:rFonts w:hint="eastAsia" w:asciiTheme="minorEastAsia" w:hAnsiTheme="minorEastAsia"/>
          <w:color w:val="auto"/>
          <w:sz w:val="28"/>
          <w:szCs w:val="28"/>
          <w:lang w:val="en-US" w:eastAsia="zh-CN"/>
        </w:rPr>
        <w:t>体育</w:t>
      </w:r>
      <w:r>
        <w:rPr>
          <w:rFonts w:hint="eastAsia" w:asciiTheme="minorEastAsia" w:hAnsiTheme="minorEastAsia"/>
          <w:color w:val="auto"/>
          <w:sz w:val="28"/>
          <w:szCs w:val="28"/>
        </w:rPr>
        <w:t>课堂教学的育人主渠道作用，构建“三全育人”工作大格局，全面推进立德树人，根据《高校思想政治工作质量提升工程实施纲要》(教党〔2017〕62号)《关于深化新时代学校思想政治理论课改革创新的若干意见》《高等学校课程思政建设指导纲要》（教高〔2020〕3号）《全面推进“大思政课”建设的工作方案》的通知（教社科〔2022〕3号）和《湖南女子学院课程思政实施办法》等文件精神，结合体育部实际，特制定本实施方案。</w:t>
      </w:r>
    </w:p>
    <w:p w14:paraId="68010F15">
      <w:pPr>
        <w:spacing w:line="440" w:lineRule="exact"/>
        <w:ind w:firstLine="562" w:firstLineChars="200"/>
        <w:rPr>
          <w:rFonts w:hint="eastAsia" w:asciiTheme="minorEastAsia" w:hAnsiTheme="minorEastAsia"/>
          <w:b/>
          <w:bCs/>
          <w:color w:val="auto"/>
          <w:sz w:val="28"/>
          <w:szCs w:val="28"/>
        </w:rPr>
      </w:pPr>
      <w:r>
        <w:rPr>
          <w:rFonts w:hint="eastAsia" w:asciiTheme="minorEastAsia" w:hAnsiTheme="minorEastAsia"/>
          <w:b/>
          <w:bCs/>
          <w:color w:val="auto"/>
          <w:sz w:val="28"/>
          <w:szCs w:val="28"/>
        </w:rPr>
        <w:t>一、指导思想</w:t>
      </w:r>
    </w:p>
    <w:p w14:paraId="0401B866">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以习近平新时代中国特色社会主义思想为指导，全面贯彻新时代党的教育方针，坚持和加强党的全面领导，坚持社会主义办学方向，全面落实立德树人根本任务，实现</w:t>
      </w:r>
      <w:r>
        <w:rPr>
          <w:rFonts w:hint="eastAsia" w:asciiTheme="minorEastAsia" w:hAnsiTheme="minorEastAsia"/>
          <w:color w:val="auto"/>
          <w:sz w:val="28"/>
          <w:szCs w:val="28"/>
          <w:lang w:val="en-US" w:eastAsia="zh-CN"/>
        </w:rPr>
        <w:t>体育</w:t>
      </w:r>
      <w:r>
        <w:rPr>
          <w:rFonts w:hint="eastAsia" w:asciiTheme="minorEastAsia" w:hAnsiTheme="minorEastAsia"/>
          <w:color w:val="auto"/>
          <w:sz w:val="28"/>
          <w:szCs w:val="28"/>
        </w:rPr>
        <w:t>各类课程与思想政治理论课同向同行，思想政治教育与知识体系教育的有机统一，知识传授、能力培养与价值引领的有机统一，构建全员全程全方位育人大格局。</w:t>
      </w:r>
    </w:p>
    <w:p w14:paraId="0951595F">
      <w:pPr>
        <w:spacing w:line="440" w:lineRule="exact"/>
        <w:ind w:firstLine="562" w:firstLineChars="200"/>
        <w:rPr>
          <w:rFonts w:hint="eastAsia" w:asciiTheme="minorEastAsia" w:hAnsiTheme="minorEastAsia"/>
          <w:b/>
          <w:bCs/>
          <w:color w:val="auto"/>
          <w:sz w:val="28"/>
          <w:szCs w:val="28"/>
        </w:rPr>
      </w:pPr>
      <w:r>
        <w:rPr>
          <w:rFonts w:hint="eastAsia" w:asciiTheme="minorEastAsia" w:hAnsiTheme="minorEastAsia"/>
          <w:b/>
          <w:bCs/>
          <w:color w:val="auto"/>
          <w:sz w:val="28"/>
          <w:szCs w:val="28"/>
        </w:rPr>
        <w:t>二、总体目标</w:t>
      </w:r>
    </w:p>
    <w:p w14:paraId="07024AD9">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（一）总体目标</w:t>
      </w:r>
    </w:p>
    <w:p w14:paraId="0F9079F2">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紧紧围绕国家和湖南区域经济社会发展需求，结合人才培养目标，以构建全员、全过程、全方位育人的思政工作新格局为目标导向，树立“全课程育人理念”，着力培养理想信念坚定、家国情怀深厚、理论基础扎实、实践能力突出，具有“四自”精神、创新意识的高素质应用型人才。</w:t>
      </w:r>
    </w:p>
    <w:p w14:paraId="4137CA8C">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（二）具体目标</w:t>
      </w:r>
    </w:p>
    <w:p w14:paraId="076361E7">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构建科学合理的课程思政教育教学体系，培育一批具有体育部特色和引领性的课程思政示范课程。</w:t>
      </w:r>
    </w:p>
    <w:p w14:paraId="7387D43E">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培养一批理想信念坚定、师德高尚、功底扎实、育人效果良好的课程思政教学名师和团队。</w:t>
      </w:r>
    </w:p>
    <w:p w14:paraId="448F11CE">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推出一批成效好、反响佳、可推广的课程思政教育教学改革典型经验和案例，形成科学有效的课程思政教育教学评价体系。</w:t>
      </w:r>
    </w:p>
    <w:p w14:paraId="372CD181">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三、基本原则</w:t>
      </w:r>
    </w:p>
    <w:p w14:paraId="756491AD">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遵循教育规律：准确把握青年学生成长成才的科学规律，从理想信念、价值取向、知识学习、意志品德、思维能力、创新精神、社会实践、使命担当等方面精心设计课程，认真组织教学。</w:t>
      </w:r>
    </w:p>
    <w:p w14:paraId="2F67602D">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坚持教师主体：加强师德师风建设，提升教师思想政治理论水平，充分发挥教师在课程育人中的主体作用。</w:t>
      </w:r>
    </w:p>
    <w:p w14:paraId="4A218D11">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注重分类指导：突出改革重点，明确育人导向，注重统筹各类课程的育人作用，探索各类课程的思政教学改革思路、内容和方法，分类分步有序推进工作。</w:t>
      </w:r>
    </w:p>
    <w:p w14:paraId="1445F155">
      <w:pPr>
        <w:spacing w:line="440" w:lineRule="exact"/>
        <w:ind w:firstLine="562" w:firstLineChars="200"/>
        <w:rPr>
          <w:rFonts w:hint="eastAsia" w:asciiTheme="minorEastAsia" w:hAnsiTheme="minorEastAsia"/>
          <w:b/>
          <w:bCs/>
          <w:color w:val="auto"/>
          <w:sz w:val="28"/>
          <w:szCs w:val="28"/>
        </w:rPr>
      </w:pPr>
      <w:r>
        <w:rPr>
          <w:rFonts w:hint="eastAsia" w:asciiTheme="minorEastAsia" w:hAnsiTheme="minorEastAsia"/>
          <w:b/>
          <w:bCs/>
          <w:color w:val="auto"/>
          <w:sz w:val="28"/>
          <w:szCs w:val="28"/>
        </w:rPr>
        <w:t>四、建设目标</w:t>
      </w:r>
    </w:p>
    <w:p w14:paraId="5E3624D6">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积极推进教师参加课程思政教学比赛、课程思政示范课程建设。每年度支持、推选教师参加各级课程思政课堂教学比赛，遴选1 - 2门课程推动课程思政示范课程建设。</w:t>
      </w:r>
    </w:p>
    <w:p w14:paraId="55E5BF1C">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结合一流课程建设，组织遴选和建设一批课程思政“金课”和精品在线课程。组织开展课程思政专项教改研究活动，遴选和建设一批课程思政教改专项。</w:t>
      </w:r>
    </w:p>
    <w:p w14:paraId="316AA2CA">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注重培训培养，培育和推出一批在课程思政建设上有突出成绩的优秀教师和优秀教学团队。</w:t>
      </w:r>
    </w:p>
    <w:p w14:paraId="0B305124">
      <w:pPr>
        <w:spacing w:line="440" w:lineRule="exact"/>
        <w:ind w:firstLine="562" w:firstLineChars="200"/>
        <w:rPr>
          <w:rFonts w:hint="eastAsia" w:asciiTheme="minorEastAsia" w:hAnsiTheme="minorEastAsia"/>
          <w:b/>
          <w:bCs/>
          <w:color w:val="auto"/>
          <w:sz w:val="28"/>
          <w:szCs w:val="28"/>
        </w:rPr>
      </w:pPr>
      <w:r>
        <w:rPr>
          <w:rFonts w:hint="eastAsia" w:asciiTheme="minorEastAsia" w:hAnsiTheme="minorEastAsia"/>
          <w:b/>
          <w:bCs/>
          <w:color w:val="auto"/>
          <w:sz w:val="28"/>
          <w:szCs w:val="28"/>
        </w:rPr>
        <w:t>五、主要任务</w:t>
      </w:r>
    </w:p>
    <w:p w14:paraId="7F9ACFAE">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（一）优化课程体系，挖掘思政元素</w:t>
      </w:r>
    </w:p>
    <w:p w14:paraId="0A5C0F4C">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体育部在根植办学定位，结合学科特点、人才培养目标和教学实际的基础上，整合资源，统筹规划，拓展课程思政内涵，完善课程思政体系。积极探索各门课程尤实现育人功能的途径和艺术，把课程育人功能的发挥牢牢建立在教师对专业知识和专业课程各自特点的深刻把握之上，结合课程自身的特点予以精心设计。将思想价值引领贯穿于教学计划、课程标准、课程内容、教学评价等主要教学环节。从源头、目标和过程上强化所有课程融入德育教育理念，并在教学建设、运行和管理等环节中落到实处。对人才培养方案、课程教学大纲、课堂教学进行设计，注重将“思想引领和价值引领”功能放在突出的地位。科学合理拓展专业课程的广度、深度和温度。</w:t>
      </w:r>
    </w:p>
    <w:p w14:paraId="4BFDC510">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（二）加强教师队伍建设，提升教师课程思政意识和能力</w:t>
      </w:r>
    </w:p>
    <w:p w14:paraId="7CCE4DDB">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加强教师思想政治教育：提高育人意识。转变教师重知识传授、能力培养，轻价值引领的观念，通过多种方式，引导教师树立“课程思政”理念，以思想引领和价值观塑造为目标，担起学生健康成长指导者和引路人的责任。</w:t>
      </w:r>
    </w:p>
    <w:p w14:paraId="0656057D">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提升教师课程思政能力：充分运用集中培训、教研活动、集体备课、名师示范等手段，就课程思政的改革与实施加强互动交流，提升思想政治教学能力，让教师能够利用课程讲授、现场讨论、线上互动、实践教学等方式，把知识传授、能力培养、思想引领融入到课程教学全过程。</w:t>
      </w:r>
    </w:p>
    <w:p w14:paraId="2F037177">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加强课程思政教学示范团队建设：根据课程思政教学改革和育人成效，优先安排团队教师研修、学习，充分调动教师在课程思政教学及改革中的积极性。以课程为依托，培育一批课程思政教学示范团队，争取孵化出省级课程思政教学示范团队。</w:t>
      </w:r>
    </w:p>
    <w:p w14:paraId="3B76A606">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（三）完善质量监控体系，提升课程育人质量</w:t>
      </w:r>
    </w:p>
    <w:p w14:paraId="230D0C59">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优化课程教学质量评价体系：将课程的“价值引领”作为教学质量评价的首要因素，在教学过程管理和质量评价（含学生评教、督导评课、同行评价等）中把“价值引领”作为明确的检测指标。</w:t>
      </w:r>
    </w:p>
    <w:p w14:paraId="53C95B2B">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设置课程思政评价指标：在课程项目、教学竞赛遴选中设置课程思政评价指标，确保课程思政建设成效纳入教学质量评价体系。</w:t>
      </w:r>
    </w:p>
    <w:p w14:paraId="1786E57D">
      <w:pPr>
        <w:spacing w:line="440" w:lineRule="exact"/>
        <w:ind w:firstLine="562" w:firstLineChars="200"/>
        <w:rPr>
          <w:rFonts w:hint="eastAsia" w:asciiTheme="minorEastAsia" w:hAnsiTheme="minorEastAsia"/>
          <w:b/>
          <w:bCs/>
          <w:color w:val="auto"/>
          <w:sz w:val="28"/>
          <w:szCs w:val="28"/>
        </w:rPr>
      </w:pPr>
      <w:r>
        <w:rPr>
          <w:rFonts w:hint="eastAsia" w:asciiTheme="minorEastAsia" w:hAnsiTheme="minorEastAsia"/>
          <w:b/>
          <w:bCs/>
          <w:color w:val="auto"/>
          <w:sz w:val="28"/>
          <w:szCs w:val="28"/>
        </w:rPr>
        <w:t>六、实施保障</w:t>
      </w:r>
    </w:p>
    <w:p w14:paraId="5A14B020">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（一）加强组织保障</w:t>
      </w:r>
    </w:p>
    <w:p w14:paraId="076EB43B">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成立由体育部主任任组长，体育部副主任、体育部综合办公室主任、各教研室主任、学生体质健康监测中心主任为成员的课程思政工作领导小组。该小组在体育部领导下，统筹推进体育部课程思政教育教学改革工作，加强制度设计与完善，把课程思政工作制度作为体育部人才培养的重要政策基点，把“三全”育人理念纳入体育部事业发展的规划和发展战略之中。强化顶层设计，挖掘和用好各门课程思政元素，重点研究和制定相关政策措施。</w:t>
      </w:r>
    </w:p>
    <w:p w14:paraId="54681ADA">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（二）加强协同联动</w:t>
      </w:r>
    </w:p>
    <w:p w14:paraId="426E0FF8">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加强与</w:t>
      </w:r>
      <w:r>
        <w:rPr>
          <w:rFonts w:hint="eastAsia" w:asciiTheme="minorEastAsia" w:hAnsiTheme="minorEastAsia"/>
          <w:color w:val="auto"/>
          <w:sz w:val="28"/>
          <w:szCs w:val="28"/>
          <w:lang w:val="en-US" w:eastAsia="zh-CN"/>
        </w:rPr>
        <w:t>学工部、团委、</w:t>
      </w:r>
      <w:r>
        <w:rPr>
          <w:rFonts w:hint="eastAsia" w:asciiTheme="minorEastAsia" w:hAnsiTheme="minorEastAsia"/>
          <w:color w:val="auto"/>
          <w:sz w:val="28"/>
          <w:szCs w:val="28"/>
        </w:rPr>
        <w:t>马克思主义学院等相关职能部门和教学单位的协同联动，构建各学科体系间任课教师的交流沟通与联动机制，定期开展调研和专项研讨，确保课程思政教育教学改革落到实处。</w:t>
      </w:r>
    </w:p>
    <w:p w14:paraId="18EEAD7E">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（三）强化工作考核</w:t>
      </w:r>
    </w:p>
    <w:p w14:paraId="214A2117">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把教师参与课程思政教学改革情况和课程思政效果作为教师考核评价、评优奖励、选拔培训的重要依据。</w:t>
      </w:r>
    </w:p>
    <w:p w14:paraId="7438DC6D">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把价值引领、知识传授、能力培养的教学目标纳入学生的课程学习评价，确保课程思政建设成效体现在学生综合素质提升上。</w:t>
      </w:r>
    </w:p>
    <w:p w14:paraId="0BFE12BC">
      <w:pPr>
        <w:keepNext w:val="0"/>
        <w:keepLines w:val="0"/>
        <w:pageBreakBefore w:val="0"/>
        <w:widowControl w:val="0"/>
        <w:tabs>
          <w:tab w:val="left" w:pos="6120"/>
        </w:tabs>
        <w:kinsoku/>
        <w:wordWrap/>
        <w:overflowPunct/>
        <w:topLinePunct w:val="0"/>
        <w:autoSpaceDE/>
        <w:autoSpaceDN/>
        <w:bidi w:val="0"/>
        <w:adjustRightInd w:val="0"/>
        <w:snapToGrid/>
        <w:spacing w:line="480" w:lineRule="exact"/>
        <w:ind w:firstLine="7000" w:firstLineChars="2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体育部</w:t>
      </w:r>
    </w:p>
    <w:p w14:paraId="7CA6AD91">
      <w:pPr>
        <w:keepNext w:val="0"/>
        <w:keepLines w:val="0"/>
        <w:pageBreakBefore w:val="0"/>
        <w:kinsoku/>
        <w:wordWrap/>
        <w:overflowPunct/>
        <w:topLinePunct w:val="0"/>
        <w:autoSpaceDE/>
        <w:autoSpaceDN/>
        <w:bidi w:val="0"/>
        <w:adjustRightInd/>
        <w:snapToGrid w:val="0"/>
        <w:spacing w:line="460" w:lineRule="exact"/>
        <w:ind w:firstLine="560" w:firstLineChars="20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lang w:val="en-US" w:eastAsia="zh-CN"/>
        </w:rPr>
        <w:t xml:space="preserve"> </w:t>
      </w: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 xml:space="preserve"> 年</w:t>
      </w:r>
      <w:r>
        <w:rPr>
          <w:rFonts w:hint="eastAsia" w:ascii="宋体" w:hAnsi="宋体" w:eastAsia="宋体" w:cs="宋体"/>
          <w:color w:val="auto"/>
          <w:sz w:val="28"/>
          <w:szCs w:val="28"/>
          <w:highlight w:val="none"/>
          <w:lang w:val="en-US" w:eastAsia="zh-CN"/>
        </w:rPr>
        <w:t>3月</w:t>
      </w:r>
      <w:r>
        <w:rPr>
          <w:rFonts w:hint="eastAsia" w:ascii="宋体" w:hAnsi="宋体" w:eastAsia="宋体" w:cs="宋体"/>
          <w:color w:val="auto"/>
          <w:sz w:val="28"/>
          <w:szCs w:val="28"/>
          <w:highlight w:val="none"/>
        </w:rPr>
        <w:t xml:space="preserve"> </w:t>
      </w:r>
    </w:p>
    <w:p w14:paraId="684F06EB">
      <w:pPr>
        <w:keepNext w:val="0"/>
        <w:keepLines w:val="0"/>
        <w:pageBreakBefore w:val="0"/>
        <w:kinsoku/>
        <w:wordWrap/>
        <w:overflowPunct/>
        <w:topLinePunct w:val="0"/>
        <w:autoSpaceDE/>
        <w:autoSpaceDN/>
        <w:bidi w:val="0"/>
        <w:adjustRightInd/>
        <w:snapToGrid w:val="0"/>
        <w:spacing w:line="440" w:lineRule="exact"/>
        <w:jc w:val="both"/>
        <w:textAlignment w:val="auto"/>
        <w:rPr>
          <w:rFonts w:hint="eastAsia" w:ascii="宋体" w:hAnsi="宋体" w:eastAsia="宋体" w:cs="宋体"/>
          <w:color w:val="auto"/>
          <w:sz w:val="28"/>
          <w:szCs w:val="28"/>
          <w:highlight w:val="none"/>
        </w:rPr>
      </w:pPr>
    </w:p>
    <w:p w14:paraId="51D78715">
      <w:pPr>
        <w:rPr>
          <w:rFonts w:hint="default" w:ascii="宋体" w:hAnsi="宋体" w:eastAsia="宋体" w:cs="宋体"/>
          <w:b/>
          <w:bCs/>
          <w:color w:val="auto"/>
          <w:sz w:val="28"/>
          <w:szCs w:val="28"/>
          <w:lang w:val="en-US" w:eastAsia="zh-CN"/>
        </w:rPr>
      </w:pPr>
      <w:r>
        <w:rPr>
          <w:rFonts w:hint="default" w:ascii="宋体" w:hAnsi="宋体" w:eastAsia="宋体" w:cs="宋体"/>
          <w:b/>
          <w:bCs/>
          <w:color w:val="auto"/>
          <w:sz w:val="28"/>
          <w:szCs w:val="28"/>
          <w:lang w:val="en-US" w:eastAsia="zh-CN"/>
        </w:rPr>
        <w:br w:type="page"/>
      </w:r>
    </w:p>
    <w:p w14:paraId="34830FCE">
      <w:pPr>
        <w:pStyle w:val="3"/>
        <w:keepNext/>
        <w:keepLines/>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imes New Roman" w:hAnsi="Times New Roman" w:eastAsia="黑体" w:cstheme="minorBidi"/>
          <w:b/>
          <w:color w:val="auto"/>
          <w:kern w:val="2"/>
          <w:sz w:val="36"/>
          <w:szCs w:val="36"/>
          <w:lang w:val="en-US" w:eastAsia="zh-CN" w:bidi="ar-SA"/>
        </w:rPr>
      </w:pPr>
      <w:bookmarkStart w:id="4" w:name="_Toc26226"/>
      <w:r>
        <w:rPr>
          <w:rFonts w:hint="eastAsia" w:ascii="Times New Roman" w:hAnsi="Times New Roman" w:eastAsia="黑体" w:cstheme="minorBidi"/>
          <w:b/>
          <w:color w:val="auto"/>
          <w:kern w:val="2"/>
          <w:sz w:val="36"/>
          <w:szCs w:val="36"/>
          <w:lang w:val="en-US" w:eastAsia="zh-CN" w:bidi="ar-SA"/>
        </w:rPr>
        <w:t>体育部关于课程教学大纲制定、修订及审查的规定（试行）</w:t>
      </w:r>
      <w:bookmarkEnd w:id="4"/>
    </w:p>
    <w:p w14:paraId="7AE5C1C7">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课程教学大纲是执行专业人才培养方案，实现人才培养目标的教学指导性文件，是组织教学、选编教材，进行教学质量评价和教学管理的基本标准与主要依据。为进一步加强体育部课程建设，规范课程教学内容，提高课程教学质量，根据体育部发展实际，特制定本规定。</w:t>
      </w:r>
    </w:p>
    <w:p w14:paraId="35DD9DDA">
      <w:pPr>
        <w:spacing w:line="440" w:lineRule="exact"/>
        <w:ind w:firstLine="562" w:firstLineChars="200"/>
        <w:jc w:val="center"/>
        <w:rPr>
          <w:rFonts w:hint="eastAsia" w:asciiTheme="minorEastAsia" w:hAnsiTheme="minorEastAsia"/>
          <w:b/>
          <w:bCs/>
          <w:color w:val="auto"/>
          <w:sz w:val="28"/>
          <w:szCs w:val="28"/>
        </w:rPr>
      </w:pPr>
      <w:r>
        <w:rPr>
          <w:rFonts w:hint="eastAsia" w:asciiTheme="minorEastAsia" w:hAnsiTheme="minorEastAsia"/>
          <w:b/>
          <w:bCs/>
          <w:color w:val="auto"/>
          <w:sz w:val="28"/>
          <w:szCs w:val="28"/>
        </w:rPr>
        <w:t>第一章 总则</w:t>
      </w:r>
    </w:p>
    <w:p w14:paraId="6B15FB22">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第一条</w:t>
      </w:r>
      <w:r>
        <w:rPr>
          <w:rFonts w:hint="eastAsia" w:asciiTheme="minorEastAsia" w:hAnsiTheme="minorEastAsia"/>
          <w:color w:val="auto"/>
          <w:sz w:val="28"/>
          <w:szCs w:val="28"/>
        </w:rPr>
        <w:t xml:space="preserve"> 课程教学大纲需严格按照专业人才培养方案设置的课程进行编制，人才培养方案中所列的课程均需制定课程教学大纲，不同学时学分的相同课程要分别编制大纲。</w:t>
      </w:r>
    </w:p>
    <w:p w14:paraId="0018E374">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第二条</w:t>
      </w:r>
      <w:r>
        <w:rPr>
          <w:rFonts w:hint="eastAsia" w:asciiTheme="minorEastAsia" w:hAnsiTheme="minorEastAsia"/>
          <w:color w:val="auto"/>
          <w:sz w:val="28"/>
          <w:szCs w:val="28"/>
        </w:rPr>
        <w:t xml:space="preserve"> 课程教学大纲的编制要紧扣人才培养目标和毕业要求，贯彻党和国家教育方针政策，弘扬社会主义核心价值观，贯彻课程思政，符合时代要求，适应社会经济发展的需要，体现教育教学观念的更新和教育思想的转变，具有科学性、系统性、先进性。</w:t>
      </w:r>
    </w:p>
    <w:p w14:paraId="2621BB38">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第三条</w:t>
      </w:r>
      <w:r>
        <w:rPr>
          <w:rFonts w:hint="eastAsia" w:asciiTheme="minorEastAsia" w:hAnsiTheme="minorEastAsia"/>
          <w:color w:val="auto"/>
          <w:sz w:val="28"/>
          <w:szCs w:val="28"/>
        </w:rPr>
        <w:t xml:space="preserve"> 课程教学大纲应以教育部各专业教学指导委员会提出的课程教学基本要求为指导，结合学校办学的实际情况和有关专业认证评估要求进行编制。</w:t>
      </w:r>
    </w:p>
    <w:p w14:paraId="6023D6B6">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第四条</w:t>
      </w:r>
      <w:r>
        <w:rPr>
          <w:rFonts w:hint="eastAsia" w:asciiTheme="minorEastAsia" w:hAnsiTheme="minorEastAsia"/>
          <w:color w:val="auto"/>
          <w:sz w:val="28"/>
          <w:szCs w:val="28"/>
        </w:rPr>
        <w:t xml:space="preserve"> 课程教学大纲应根据国家教育方针政策、经济、社会发展的实际变化适时进行修订，以更好地满足课程教学改革的需要。</w:t>
      </w:r>
    </w:p>
    <w:p w14:paraId="5BA7A04A">
      <w:pPr>
        <w:spacing w:line="440" w:lineRule="exact"/>
        <w:ind w:firstLine="562" w:firstLineChars="200"/>
        <w:jc w:val="center"/>
        <w:rPr>
          <w:rFonts w:hint="eastAsia" w:asciiTheme="minorEastAsia" w:hAnsiTheme="minorEastAsia"/>
          <w:b/>
          <w:bCs/>
          <w:color w:val="auto"/>
          <w:sz w:val="28"/>
          <w:szCs w:val="28"/>
        </w:rPr>
      </w:pPr>
      <w:r>
        <w:rPr>
          <w:rFonts w:hint="eastAsia" w:asciiTheme="minorEastAsia" w:hAnsiTheme="minorEastAsia"/>
          <w:b/>
          <w:bCs/>
          <w:color w:val="auto"/>
          <w:sz w:val="28"/>
          <w:szCs w:val="28"/>
        </w:rPr>
        <w:t>第二章 组织与职责</w:t>
      </w:r>
    </w:p>
    <w:p w14:paraId="24769730">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第五条</w:t>
      </w:r>
      <w:r>
        <w:rPr>
          <w:rFonts w:hint="eastAsia" w:asciiTheme="minorEastAsia" w:hAnsiTheme="minorEastAsia"/>
          <w:color w:val="auto"/>
          <w:sz w:val="28"/>
          <w:szCs w:val="28"/>
        </w:rPr>
        <w:t xml:space="preserve"> 体育部是课程教学大纲的管理主体，负责协助、指导各教研室、中心制（修）订课程教学大纲，备案各教研室、中心制定的课程教学大纲，检查课程教学大纲执行情况。</w:t>
      </w:r>
    </w:p>
    <w:p w14:paraId="2805CCD6">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第六条</w:t>
      </w:r>
      <w:r>
        <w:rPr>
          <w:rFonts w:hint="eastAsia" w:asciiTheme="minorEastAsia" w:hAnsiTheme="minorEastAsia"/>
          <w:color w:val="auto"/>
          <w:sz w:val="28"/>
          <w:szCs w:val="28"/>
        </w:rPr>
        <w:t xml:space="preserve"> 各教研室、中心是课程教学大纲的责任主体，负责根据学校和体育部课程教学大纲模板和要求，组织各课程组教师编制所承担课程的大纲，按照学校和体育部的管理要求执行、评价课程教学大纲，提出大纲修订和变更申请。</w:t>
      </w:r>
    </w:p>
    <w:p w14:paraId="0010A084">
      <w:pPr>
        <w:spacing w:line="440" w:lineRule="exact"/>
        <w:ind w:firstLine="562" w:firstLineChars="200"/>
        <w:jc w:val="center"/>
        <w:rPr>
          <w:rFonts w:hint="eastAsia" w:asciiTheme="minorEastAsia" w:hAnsiTheme="minorEastAsia"/>
          <w:b/>
          <w:bCs/>
          <w:color w:val="auto"/>
          <w:sz w:val="28"/>
          <w:szCs w:val="28"/>
        </w:rPr>
      </w:pPr>
      <w:r>
        <w:rPr>
          <w:rFonts w:hint="eastAsia" w:asciiTheme="minorEastAsia" w:hAnsiTheme="minorEastAsia"/>
          <w:b/>
          <w:bCs/>
          <w:color w:val="auto"/>
          <w:sz w:val="28"/>
          <w:szCs w:val="28"/>
        </w:rPr>
        <w:t>第三章 内容及要求</w:t>
      </w:r>
    </w:p>
    <w:p w14:paraId="7156A61F">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第七条</w:t>
      </w:r>
      <w:r>
        <w:rPr>
          <w:rFonts w:hint="eastAsia" w:asciiTheme="minorEastAsia" w:hAnsiTheme="minorEastAsia"/>
          <w:color w:val="auto"/>
          <w:sz w:val="28"/>
          <w:szCs w:val="28"/>
        </w:rPr>
        <w:t xml:space="preserve"> 课程教学大纲包括课程的基本信息，课程目标，课程内容，实验实训教学条件及内容，考核方式与成绩评定，推荐教材与学习资源，制订依据、执行对象等。理论课中包含实验实践课时的，应对该部分课时的教学内容、实施方式等做出说明或具体安排。实践教学环节大纲包括课程的基本信息（同理论课程），课程目标、课程内容、能力培养与建议方法、考核方式与成绩评定等，注重综合性、设计研究性和创新自主性实验项目的开发和建设，培养学生的创新意识和创新能力。</w:t>
      </w:r>
    </w:p>
    <w:p w14:paraId="1FF0D612">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第八条</w:t>
      </w:r>
      <w:r>
        <w:rPr>
          <w:rFonts w:hint="eastAsia" w:asciiTheme="minorEastAsia" w:hAnsiTheme="minorEastAsia"/>
          <w:color w:val="auto"/>
          <w:sz w:val="28"/>
          <w:szCs w:val="28"/>
        </w:rPr>
        <w:t xml:space="preserve"> 课程教学大纲要从人才培养目标出发，对照毕业要求，以学生为中心，坚持立德树人，体现知识传授、能力培养与价值引领担当有机结合，充分吸收所在学科专业的先进的思想、理论、原理、技术与方法等，注重各课程内容的有机衔接，服从课程结构整体优化及教学安排的总体部署，有效运用现代教育技术手段和方法。</w:t>
      </w:r>
    </w:p>
    <w:p w14:paraId="2F0EC7FD">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第九条</w:t>
      </w:r>
      <w:r>
        <w:rPr>
          <w:rFonts w:hint="eastAsia" w:asciiTheme="minorEastAsia" w:hAnsiTheme="minorEastAsia"/>
          <w:color w:val="auto"/>
          <w:sz w:val="28"/>
          <w:szCs w:val="28"/>
        </w:rPr>
        <w:t xml:space="preserve"> 课程教学大纲要注重凸显应用型人才培养的特色，着力培养学生学习能力、实践能力和创新能力等。非独立设置的实验课和其他实践环节的教学要求应在相应课程中有体现。</w:t>
      </w:r>
    </w:p>
    <w:p w14:paraId="549FE710">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第十条</w:t>
      </w:r>
      <w:r>
        <w:rPr>
          <w:rFonts w:hint="eastAsia" w:asciiTheme="minorEastAsia" w:hAnsiTheme="minorEastAsia"/>
          <w:color w:val="auto"/>
          <w:sz w:val="28"/>
          <w:szCs w:val="28"/>
        </w:rPr>
        <w:t xml:space="preserve"> 课程教学大纲注重产出导向，课程目标对接毕业要求并体现课程特色，课程内容完整、教学方法有效，评定方式合理，课程内容和教学方法能够支撑课程目标的达成，课程考核与成绩评定方式能够验证课程目标的达成。</w:t>
      </w:r>
    </w:p>
    <w:p w14:paraId="521EE7C0">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第十一条</w:t>
      </w:r>
      <w:r>
        <w:rPr>
          <w:rFonts w:hint="eastAsia" w:asciiTheme="minorEastAsia" w:hAnsiTheme="minorEastAsia"/>
          <w:color w:val="auto"/>
          <w:sz w:val="28"/>
          <w:szCs w:val="28"/>
        </w:rPr>
        <w:t xml:space="preserve"> 课程教学大纲要依据学科体系和专业内在的逻辑，服从知识结构和教学安排的整体要求，科学安排课程内容和授课学时，通过课程内容的解构与重构，妥善处理好各门课程之间和每门课程各部分内容之间的衔接，整体优化课程体系。</w:t>
      </w:r>
    </w:p>
    <w:p w14:paraId="0D1305FE">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第十二条</w:t>
      </w:r>
      <w:r>
        <w:rPr>
          <w:rFonts w:hint="eastAsia" w:asciiTheme="minorEastAsia" w:hAnsiTheme="minorEastAsia"/>
          <w:color w:val="auto"/>
          <w:sz w:val="28"/>
          <w:szCs w:val="28"/>
        </w:rPr>
        <w:t xml:space="preserve"> 课程教学大纲力求文字严谨、内容表达明确扼要，名词术语准确，在符合基本规范的基础上体现各自学科专业的特色。</w:t>
      </w:r>
    </w:p>
    <w:p w14:paraId="5D0B3521">
      <w:pPr>
        <w:spacing w:line="440" w:lineRule="exact"/>
        <w:ind w:firstLine="562" w:firstLineChars="200"/>
        <w:jc w:val="center"/>
        <w:rPr>
          <w:rFonts w:hint="eastAsia" w:asciiTheme="minorEastAsia" w:hAnsiTheme="minorEastAsia"/>
          <w:b/>
          <w:bCs/>
          <w:color w:val="auto"/>
          <w:sz w:val="28"/>
          <w:szCs w:val="28"/>
        </w:rPr>
      </w:pPr>
      <w:r>
        <w:rPr>
          <w:rFonts w:hint="eastAsia" w:asciiTheme="minorEastAsia" w:hAnsiTheme="minorEastAsia"/>
          <w:b/>
          <w:bCs/>
          <w:color w:val="auto"/>
          <w:sz w:val="28"/>
          <w:szCs w:val="28"/>
        </w:rPr>
        <w:t>第四章 执行与管理</w:t>
      </w:r>
    </w:p>
    <w:p w14:paraId="5C54AEDE">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第十三条</w:t>
      </w:r>
      <w:r>
        <w:rPr>
          <w:rFonts w:hint="eastAsia" w:asciiTheme="minorEastAsia" w:hAnsiTheme="minorEastAsia"/>
          <w:color w:val="auto"/>
          <w:sz w:val="28"/>
          <w:szCs w:val="28"/>
        </w:rPr>
        <w:t xml:space="preserve"> 课程教学大纲是组织课程课堂教学的重要依据，为了保证课堂教学的连续性、稳定性，课程教学大纲一经批准后，每位教师在教学过程中必须严格执行，并按照课程教学大纲进行备课、授课和课程考核，体育部教学督导应按大纲实施教学检查和评估活动。</w:t>
      </w:r>
    </w:p>
    <w:p w14:paraId="1599B771">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第十四条</w:t>
      </w:r>
      <w:r>
        <w:rPr>
          <w:rFonts w:hint="eastAsia" w:asciiTheme="minorEastAsia" w:hAnsiTheme="minorEastAsia"/>
          <w:color w:val="auto"/>
          <w:sz w:val="28"/>
          <w:szCs w:val="28"/>
        </w:rPr>
        <w:t xml:space="preserve"> 在课程教学大纲执行过程中，可根据教育教学改革趋势和学科专业的发展变化需要，对课程教学大纲进行适当调整。原则上由课程负责人提出申请，经教研室、中心论证，体育部主管领导审核签字并加盖单位公章后报教务处备案、执行。</w:t>
      </w:r>
    </w:p>
    <w:p w14:paraId="7B82B5BA">
      <w:pPr>
        <w:spacing w:line="440" w:lineRule="exact"/>
        <w:ind w:firstLine="562" w:firstLineChars="200"/>
        <w:rPr>
          <w:rFonts w:hint="eastAsia" w:asciiTheme="minorEastAsia" w:hAnsiTheme="minorEastAsia"/>
          <w:b/>
          <w:bCs/>
          <w:color w:val="auto"/>
          <w:sz w:val="28"/>
          <w:szCs w:val="28"/>
        </w:rPr>
      </w:pPr>
      <w:r>
        <w:rPr>
          <w:rFonts w:hint="eastAsia" w:asciiTheme="minorEastAsia" w:hAnsiTheme="minorEastAsia"/>
          <w:b/>
          <w:bCs/>
          <w:color w:val="auto"/>
          <w:sz w:val="28"/>
          <w:szCs w:val="28"/>
        </w:rPr>
        <w:t>第十五条 制（修）订程序</w:t>
      </w:r>
    </w:p>
    <w:p w14:paraId="6AA2063C">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人才培养方案定稿后，体育部成立本科课程大纲编制领导小组，安排教研室负责人组织制（修）订培养方案中所列课程的大纲，并按课程类型分类编制理论课程、实验课程和实习实训类实践课程大纲。</w:t>
      </w:r>
    </w:p>
    <w:p w14:paraId="3A980669">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教研室负责人组织课程组教师（涉及跨教学单位的课程，应组织相关任课教师参与）编制所承担课程的大纲，经过课程组教师充分讨论后，可由课程负责人执笔制订。</w:t>
      </w:r>
    </w:p>
    <w:p w14:paraId="7192A229">
      <w:pPr>
        <w:spacing w:line="440" w:lineRule="exact"/>
        <w:ind w:firstLine="560" w:firstLineChars="200"/>
        <w:rPr>
          <w:rFonts w:hint="eastAsia" w:asciiTheme="minorEastAsia" w:hAnsiTheme="minorEastAsia"/>
          <w:color w:val="auto"/>
          <w:sz w:val="28"/>
          <w:szCs w:val="28"/>
        </w:rPr>
      </w:pPr>
      <w:r>
        <w:rPr>
          <w:rFonts w:hint="eastAsia" w:asciiTheme="minorEastAsia" w:hAnsiTheme="minorEastAsia"/>
          <w:color w:val="auto"/>
          <w:sz w:val="28"/>
          <w:szCs w:val="28"/>
        </w:rPr>
        <w:t>课程教学大纲完成后，由教研室负责人组织教师进行审核，审核时要注意课程知识点和实验项目是否有遗漏、脱节和重复的现象，实验（或实践）项目内容是否科学合理、可操作，内容与要求是否明确、科学，大纲格式是否符合体育部要求等问题。经审核的大纲，由体育部组织专家进行论证，由体育部教学指导委员会进行会审，经体育部主管领导审核签字并加盖单位公章并汇编，报教务处备案。</w:t>
      </w:r>
    </w:p>
    <w:p w14:paraId="734DBD39">
      <w:pPr>
        <w:spacing w:line="440" w:lineRule="exact"/>
        <w:ind w:firstLine="562" w:firstLineChars="200"/>
        <w:jc w:val="center"/>
        <w:rPr>
          <w:rFonts w:hint="eastAsia" w:asciiTheme="minorEastAsia" w:hAnsiTheme="minorEastAsia"/>
          <w:b/>
          <w:bCs/>
          <w:color w:val="auto"/>
          <w:sz w:val="28"/>
          <w:szCs w:val="28"/>
        </w:rPr>
      </w:pPr>
      <w:r>
        <w:rPr>
          <w:rFonts w:hint="eastAsia" w:asciiTheme="minorEastAsia" w:hAnsiTheme="minorEastAsia"/>
          <w:b/>
          <w:bCs/>
          <w:color w:val="auto"/>
          <w:sz w:val="28"/>
          <w:szCs w:val="28"/>
        </w:rPr>
        <w:t>第五章 附则</w:t>
      </w:r>
    </w:p>
    <w:p w14:paraId="10808F70">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第十六条</w:t>
      </w:r>
      <w:r>
        <w:rPr>
          <w:rFonts w:hint="eastAsia" w:asciiTheme="minorEastAsia" w:hAnsiTheme="minorEastAsia"/>
          <w:color w:val="auto"/>
          <w:sz w:val="28"/>
          <w:szCs w:val="28"/>
        </w:rPr>
        <w:t xml:space="preserve"> 本规定自印发之日起施行。</w:t>
      </w:r>
    </w:p>
    <w:p w14:paraId="26BED298">
      <w:pPr>
        <w:spacing w:line="440" w:lineRule="exact"/>
        <w:ind w:firstLine="562" w:firstLineChars="200"/>
        <w:rPr>
          <w:rFonts w:hint="eastAsia" w:asciiTheme="minorEastAsia" w:hAnsiTheme="minorEastAsia"/>
          <w:color w:val="auto"/>
          <w:sz w:val="28"/>
          <w:szCs w:val="28"/>
        </w:rPr>
      </w:pPr>
      <w:r>
        <w:rPr>
          <w:rFonts w:hint="eastAsia" w:asciiTheme="minorEastAsia" w:hAnsiTheme="minorEastAsia"/>
          <w:b/>
          <w:bCs/>
          <w:color w:val="auto"/>
          <w:sz w:val="28"/>
          <w:szCs w:val="28"/>
        </w:rPr>
        <w:t>第十七条</w:t>
      </w:r>
      <w:r>
        <w:rPr>
          <w:rFonts w:hint="eastAsia" w:asciiTheme="minorEastAsia" w:hAnsiTheme="minorEastAsia"/>
          <w:color w:val="auto"/>
          <w:sz w:val="28"/>
          <w:szCs w:val="28"/>
        </w:rPr>
        <w:t xml:space="preserve"> 本规定由体育部负责解释。</w:t>
      </w:r>
    </w:p>
    <w:p w14:paraId="0AA3011E">
      <w:pPr>
        <w:spacing w:line="440" w:lineRule="exact"/>
        <w:ind w:firstLine="7000" w:firstLineChars="2500"/>
        <w:rPr>
          <w:rFonts w:hint="eastAsia" w:asciiTheme="minorEastAsia" w:hAnsiTheme="minorEastAsia"/>
          <w:color w:val="auto"/>
          <w:sz w:val="28"/>
          <w:szCs w:val="28"/>
        </w:rPr>
      </w:pPr>
      <w:r>
        <w:rPr>
          <w:rFonts w:hint="eastAsia" w:asciiTheme="minorEastAsia" w:hAnsiTheme="minorEastAsia"/>
          <w:color w:val="auto"/>
          <w:sz w:val="28"/>
          <w:szCs w:val="28"/>
        </w:rPr>
        <w:t>体育部</w:t>
      </w:r>
    </w:p>
    <w:p w14:paraId="3EF0B6BD">
      <w:pPr>
        <w:tabs>
          <w:tab w:val="left" w:pos="6120"/>
        </w:tabs>
        <w:adjustRightInd w:val="0"/>
        <w:spacing w:line="440" w:lineRule="exact"/>
        <w:ind w:firstLine="560" w:firstLineChars="200"/>
        <w:jc w:val="center"/>
        <w:rPr>
          <w:rFonts w:hint="eastAsia" w:ascii="宋体" w:hAnsi="宋体" w:eastAsia="宋体" w:cs="宋体"/>
          <w:color w:val="auto"/>
          <w:sz w:val="28"/>
          <w:szCs w:val="28"/>
          <w:highlight w:val="none"/>
        </w:rPr>
      </w:pP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 xml:space="preserve"> 年 </w:t>
      </w:r>
      <w:r>
        <w:rPr>
          <w:rFonts w:hint="eastAsia" w:ascii="Times New Roman" w:hAnsi="Times New Roman" w:eastAsia="宋体" w:cs="Times New Roman"/>
          <w:color w:val="auto"/>
          <w:sz w:val="28"/>
          <w:szCs w:val="28"/>
          <w:highlight w:val="none"/>
          <w:lang w:val="en-US" w:eastAsia="zh-CN"/>
        </w:rPr>
        <w:t>3</w:t>
      </w:r>
      <w:r>
        <w:rPr>
          <w:rFonts w:hint="eastAsia" w:ascii="宋体" w:hAnsi="宋体" w:eastAsia="宋体" w:cs="宋体"/>
          <w:color w:val="auto"/>
          <w:sz w:val="28"/>
          <w:szCs w:val="28"/>
          <w:highlight w:val="none"/>
        </w:rPr>
        <w:t>月</w:t>
      </w:r>
    </w:p>
    <w:p w14:paraId="57FAB67F">
      <w:pPr>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br w:type="page"/>
      </w:r>
    </w:p>
    <w:p w14:paraId="187093C7">
      <w:pPr>
        <w:pStyle w:val="3"/>
        <w:keepNext/>
        <w:keepLines/>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heme="minorEastAsia" w:hAnsiTheme="minorEastAsia" w:cstheme="minorEastAsia"/>
          <w:color w:val="auto"/>
          <w:kern w:val="0"/>
          <w:sz w:val="28"/>
          <w:szCs w:val="28"/>
          <w:highlight w:val="none"/>
        </w:rPr>
      </w:pPr>
      <w:bookmarkStart w:id="5" w:name="_Toc19978"/>
      <w:bookmarkStart w:id="6" w:name="_Toc2400"/>
      <w:r>
        <w:rPr>
          <w:rFonts w:hint="eastAsia" w:ascii="Times New Roman" w:hAnsi="Times New Roman"/>
          <w:color w:val="auto"/>
          <w:sz w:val="36"/>
          <w:szCs w:val="36"/>
          <w:lang w:val="en-US" w:eastAsia="zh-CN"/>
        </w:rPr>
        <w:t>体育部</w:t>
      </w:r>
      <w:r>
        <w:rPr>
          <w:rFonts w:hint="eastAsia" w:ascii="Times New Roman" w:hAnsi="Times New Roman"/>
          <w:color w:val="auto"/>
          <w:sz w:val="36"/>
          <w:szCs w:val="36"/>
        </w:rPr>
        <w:t>关于规范</w:t>
      </w:r>
      <w:bookmarkEnd w:id="5"/>
      <w:bookmarkStart w:id="7" w:name="_Toc9103"/>
      <w:bookmarkStart w:id="8" w:name="_Toc2176"/>
      <w:r>
        <w:rPr>
          <w:rFonts w:hint="eastAsia" w:ascii="Times New Roman" w:hAnsi="Times New Roman"/>
          <w:color w:val="auto"/>
          <w:sz w:val="36"/>
          <w:szCs w:val="36"/>
        </w:rPr>
        <w:t>课堂教学管理的规定</w:t>
      </w:r>
      <w:bookmarkEnd w:id="6"/>
      <w:bookmarkEnd w:id="7"/>
      <w:bookmarkEnd w:id="8"/>
    </w:p>
    <w:p w14:paraId="6E795464">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课堂教学是教学工作的中心环节，是教师向学生传授知识，培养学生能力的主要途径。根据《湖南女子学院关于加强课堂教学管理的</w:t>
      </w:r>
      <w:r>
        <w:rPr>
          <w:rFonts w:hint="eastAsia" w:asciiTheme="minorEastAsia" w:hAnsiTheme="minorEastAsia"/>
          <w:color w:val="auto"/>
          <w:sz w:val="28"/>
          <w:szCs w:val="28"/>
        </w:rPr>
        <w:t>规定》《湖南女子学院教学检查实施办法》《湖南女子学院排课、调课、停课规定》《湖南女子学院教学督导工作条例》《湖南女子学院教</w:t>
      </w:r>
      <w:r>
        <w:rPr>
          <w:rFonts w:hint="eastAsia" w:asciiTheme="minorEastAsia" w:hAnsiTheme="minorEastAsia" w:cstheme="minorEastAsia"/>
          <w:color w:val="auto"/>
          <w:kern w:val="0"/>
          <w:sz w:val="28"/>
          <w:szCs w:val="28"/>
          <w:highlight w:val="none"/>
        </w:rPr>
        <w:t>学质量保障体系及其运行办法》《湖南女子学院教学事故认定及处理办法》《湖南女子学院学生违纪处分条例》等管理文件精神，结合体育部实际情况，特制定本规定。</w:t>
      </w:r>
    </w:p>
    <w:p w14:paraId="4B7AF9C8">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一、强化教师课堂教学纪律管理</w:t>
      </w:r>
    </w:p>
    <w:p w14:paraId="41C6133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（一）严格政治规矩</w:t>
      </w:r>
    </w:p>
    <w:p w14:paraId="4D19409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师是国家公职人员，为党育人、为国育才是对每一位教师的政治要求，要牢固树立德育摆在首位的思想。所有教师务必按照“课程思政”要求，严守课堂言行政治规矩，严禁在课堂发表或组织学生讨论有损害党中央权威、违背党的路线方针政策、污蔑国家宪法法律、危害国家安全与社会稳定、破坏民族团结等的言行；严禁在课堂上发表或转发错误观点，或编造散布虚假信息、不良信息。</w:t>
      </w:r>
    </w:p>
    <w:p w14:paraId="5DACFDC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（二）严格师德规范</w:t>
      </w:r>
    </w:p>
    <w:p w14:paraId="7A3C2F4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课堂的根本功能价值在于立德树人，教书育人、为人师表是教师的本职要求。任课教师是课堂管理的第一责任人。任课教师应严格履行管理职责，及时制止违反课堂教学秩序的行为。所有教师要潜心教书育人，不敷衍教学，不敷衍学生，弘扬真善美，传递正能量；切实关心学生学业发展，因材施教，严慈相济，做学生的良师益友；不得要求学生从事与课堂教学无关的事情。</w:t>
      </w:r>
    </w:p>
    <w:p w14:paraId="67BA95E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（三）严格教学规范</w:t>
      </w:r>
    </w:p>
    <w:p w14:paraId="72299F2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学规范是对教师教学的基本行为要求，是保证课堂教学有序的重要保障，所有教师要自觉严格遵守学校教学工作规范，任课教师应认真组织教学活动，严格遵守日常教学规范与师德师风底线，主动弘扬社会主义核心价值观。</w:t>
      </w:r>
    </w:p>
    <w:p w14:paraId="7C0559F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根据所授课程教学要求做好课前准备，配带上课的所有材料，准时上课，不迟到，不早退，不无故缺课。不允许私自调课、停课、更改上课时间和地点。教师因病或因事等特殊情况确需要调（停）课等课程异动的，要严格履行调（停）课异动手续。</w:t>
      </w:r>
    </w:p>
    <w:p w14:paraId="3C535994">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严格执行课堂学生考勤制度，检查学生到课情况，督促学生遵守课堂纪律，严禁放任、包庇学生迟到和旷（缺）课，对学生违反课堂纪律的行为要及时制止和批评教育。</w:t>
      </w:r>
    </w:p>
    <w:p w14:paraId="767F82A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教师应积极开展教学方法和教学手段的改革与创新，重视发挥学生在学习过程中的主体作用，注重师生互动，使学生积极参与教学过程，提高学生的学习兴趣，随时注意教学信息的反馈，改进教学方法。</w:t>
      </w:r>
    </w:p>
    <w:p w14:paraId="5D70BBF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教师要为人师表，服装整洁得体，仪态端庄，教态自然大方。教师无特殊情况，应该站立上课，适当进行走动。</w:t>
      </w:r>
    </w:p>
    <w:p w14:paraId="7DF443B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教师上课时除特殊情况外，不允许使用手机或其他与教学无关的通讯工具，禁止在教室或其他教学场所吸烟。不做与课堂教学无关的事情，不得随意</w:t>
      </w:r>
      <w:r>
        <w:rPr>
          <w:rFonts w:hint="eastAsia" w:asciiTheme="minorEastAsia" w:hAnsiTheme="minorEastAsia" w:cstheme="minorEastAsia"/>
          <w:color w:val="auto"/>
          <w:kern w:val="0"/>
          <w:sz w:val="28"/>
          <w:szCs w:val="28"/>
          <w:highlight w:val="none"/>
          <w:lang w:val="en-US" w:eastAsia="zh-CN"/>
        </w:rPr>
        <w:t>教学场地</w:t>
      </w:r>
      <w:r>
        <w:rPr>
          <w:rFonts w:hint="eastAsia" w:asciiTheme="minorEastAsia" w:hAnsiTheme="minorEastAsia" w:cstheme="minorEastAsia"/>
          <w:color w:val="auto"/>
          <w:kern w:val="0"/>
          <w:sz w:val="28"/>
          <w:szCs w:val="28"/>
          <w:highlight w:val="none"/>
        </w:rPr>
        <w:t>，特殊情况必须离开的，应先向学生说明情况。</w:t>
      </w:r>
    </w:p>
    <w:p w14:paraId="42ABFF8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教师的教学应具有良好的示范作用，使用普通话教学，语言要准确、精炼、生动、流畅。</w:t>
      </w:r>
      <w:r>
        <w:rPr>
          <w:rFonts w:hint="eastAsia" w:asciiTheme="minorEastAsia" w:hAnsiTheme="minorEastAsia" w:cstheme="minorEastAsia"/>
          <w:color w:val="auto"/>
          <w:kern w:val="0"/>
          <w:sz w:val="28"/>
          <w:szCs w:val="28"/>
          <w:highlight w:val="none"/>
          <w:lang w:val="en-US" w:eastAsia="zh-CN"/>
        </w:rPr>
        <w:t>动作示范要准确</w:t>
      </w:r>
      <w:r>
        <w:rPr>
          <w:rFonts w:hint="eastAsia" w:asciiTheme="minorEastAsia" w:hAnsiTheme="minorEastAsia" w:cstheme="minorEastAsia"/>
          <w:color w:val="auto"/>
          <w:kern w:val="0"/>
          <w:sz w:val="28"/>
          <w:szCs w:val="28"/>
          <w:highlight w:val="none"/>
        </w:rPr>
        <w:t>。</w:t>
      </w:r>
    </w:p>
    <w:p w14:paraId="2CF95D5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任课教师应做好课堂教学过程组织工作，按照教学日历上课，运用多种教学手段，丰富授课内容，做好课堂过程性考核。</w:t>
      </w:r>
    </w:p>
    <w:p w14:paraId="667C1EF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根据课程教学内容及教学大纲，合理设置考试内容与考试形式。</w:t>
      </w:r>
    </w:p>
    <w:p w14:paraId="005AEBD6">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二、严格学生课堂学习纪律管理</w:t>
      </w:r>
    </w:p>
    <w:p w14:paraId="4C30929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课堂是学生专业学习和完成课程学习任务的主要渠道，所有学生要遵守课堂学习纪律，不迟到、早退和随意缺课，自觉服从学校和体育部的教学安排，积极配合任课教师的课堂教学要求。凡未按规定履行请假手续而缺课的学生，以旷课论处。</w:t>
      </w:r>
    </w:p>
    <w:p w14:paraId="55194B8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学生要尊重教师、服从教师的课堂管理，积极参与课堂教学活动，上课时除特殊情况外，学生不允许使用手机或其他与教学无关的通讯工具，禁止在</w:t>
      </w:r>
      <w:r>
        <w:rPr>
          <w:rFonts w:hint="eastAsia" w:asciiTheme="minorEastAsia" w:hAnsiTheme="minorEastAsia" w:cstheme="minorEastAsia"/>
          <w:color w:val="auto"/>
          <w:kern w:val="0"/>
          <w:sz w:val="28"/>
          <w:szCs w:val="28"/>
          <w:highlight w:val="none"/>
          <w:lang w:val="en-US" w:eastAsia="zh-CN"/>
        </w:rPr>
        <w:t>体育</w:t>
      </w:r>
      <w:r>
        <w:rPr>
          <w:rFonts w:hint="eastAsia" w:asciiTheme="minorEastAsia" w:hAnsiTheme="minorEastAsia" w:cstheme="minorEastAsia"/>
          <w:color w:val="auto"/>
          <w:kern w:val="0"/>
          <w:sz w:val="28"/>
          <w:szCs w:val="28"/>
          <w:highlight w:val="none"/>
        </w:rPr>
        <w:t>教学场所吸烟。不做与课堂教学无关的事情，不得随意离开教室，特殊情况必须离开</w:t>
      </w:r>
      <w:r>
        <w:rPr>
          <w:rFonts w:hint="eastAsia" w:asciiTheme="minorEastAsia" w:hAnsiTheme="minorEastAsia" w:cstheme="minorEastAsia"/>
          <w:color w:val="auto"/>
          <w:kern w:val="0"/>
          <w:sz w:val="28"/>
          <w:szCs w:val="28"/>
          <w:highlight w:val="none"/>
          <w:lang w:val="en-US" w:eastAsia="zh-CN"/>
        </w:rPr>
        <w:t>教学场地</w:t>
      </w:r>
      <w:r>
        <w:rPr>
          <w:rFonts w:hint="eastAsia" w:asciiTheme="minorEastAsia" w:hAnsiTheme="minorEastAsia" w:cstheme="minorEastAsia"/>
          <w:color w:val="auto"/>
          <w:kern w:val="0"/>
          <w:sz w:val="28"/>
          <w:szCs w:val="28"/>
          <w:highlight w:val="none"/>
        </w:rPr>
        <w:t>的，应先向教师请假。禁止从事与课堂教学无关或影响课堂教学正常秩序的行为。</w:t>
      </w:r>
    </w:p>
    <w:p w14:paraId="6541FF8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学生进入教</w:t>
      </w:r>
      <w:r>
        <w:rPr>
          <w:rFonts w:hint="eastAsia" w:asciiTheme="minorEastAsia" w:hAnsiTheme="minorEastAsia" w:cstheme="minorEastAsia"/>
          <w:color w:val="auto"/>
          <w:kern w:val="0"/>
          <w:sz w:val="28"/>
          <w:szCs w:val="28"/>
          <w:highlight w:val="none"/>
          <w:lang w:val="en-US" w:eastAsia="zh-CN"/>
        </w:rPr>
        <w:t>学场地</w:t>
      </w:r>
      <w:r>
        <w:rPr>
          <w:rFonts w:hint="eastAsia" w:asciiTheme="minorEastAsia" w:hAnsiTheme="minorEastAsia" w:cstheme="minorEastAsia"/>
          <w:color w:val="auto"/>
          <w:kern w:val="0"/>
          <w:sz w:val="28"/>
          <w:szCs w:val="28"/>
          <w:highlight w:val="none"/>
        </w:rPr>
        <w:t>要穿着整洁、得体，</w:t>
      </w:r>
      <w:r>
        <w:rPr>
          <w:rFonts w:hint="eastAsia" w:asciiTheme="minorEastAsia" w:hAnsiTheme="minorEastAsia" w:cstheme="minorEastAsia"/>
          <w:color w:val="auto"/>
          <w:kern w:val="0"/>
          <w:sz w:val="28"/>
          <w:szCs w:val="28"/>
          <w:highlight w:val="none"/>
          <w:lang w:val="en-US" w:eastAsia="zh-CN"/>
        </w:rPr>
        <w:t>必须穿适合的运动衣服与运动鞋，</w:t>
      </w:r>
      <w:r>
        <w:rPr>
          <w:rFonts w:hint="eastAsia" w:asciiTheme="minorEastAsia" w:hAnsiTheme="minorEastAsia" w:cstheme="minorEastAsia"/>
          <w:color w:val="auto"/>
          <w:kern w:val="0"/>
          <w:sz w:val="28"/>
          <w:szCs w:val="28"/>
          <w:highlight w:val="none"/>
        </w:rPr>
        <w:t>不得穿拖鞋、背心、睡衣以及过分裸露的服装进入</w:t>
      </w:r>
      <w:r>
        <w:rPr>
          <w:rFonts w:hint="eastAsia" w:asciiTheme="minorEastAsia" w:hAnsiTheme="minorEastAsia" w:cstheme="minorEastAsia"/>
          <w:color w:val="auto"/>
          <w:kern w:val="0"/>
          <w:sz w:val="28"/>
          <w:szCs w:val="28"/>
          <w:highlight w:val="none"/>
          <w:lang w:val="en-US" w:eastAsia="zh-CN"/>
        </w:rPr>
        <w:t>课堂</w:t>
      </w:r>
      <w:r>
        <w:rPr>
          <w:rFonts w:hint="eastAsia" w:asciiTheme="minorEastAsia" w:hAnsiTheme="minorEastAsia" w:cstheme="minorEastAsia"/>
          <w:color w:val="auto"/>
          <w:kern w:val="0"/>
          <w:sz w:val="28"/>
          <w:szCs w:val="28"/>
          <w:highlight w:val="none"/>
        </w:rPr>
        <w:t>；严禁在课堂上做出搂抱、依偎、贴面、耳语等过于亲密举动；严禁有妨碍或影响他人学习言行；严禁说脏话或辱骂他人。</w:t>
      </w:r>
    </w:p>
    <w:p w14:paraId="1D1709A1">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三、加强课堂教学设计规范</w:t>
      </w:r>
    </w:p>
    <w:p w14:paraId="50521CE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根据</w:t>
      </w:r>
      <w:r>
        <w:rPr>
          <w:rFonts w:hint="eastAsia" w:asciiTheme="minorEastAsia" w:hAnsiTheme="minorEastAsia" w:cstheme="minorEastAsia"/>
          <w:color w:val="auto"/>
          <w:kern w:val="0"/>
          <w:sz w:val="28"/>
          <w:szCs w:val="28"/>
          <w:highlight w:val="none"/>
          <w:lang w:val="en-US" w:eastAsia="zh-CN"/>
        </w:rPr>
        <w:t>学校</w:t>
      </w:r>
      <w:r>
        <w:rPr>
          <w:rFonts w:hint="eastAsia" w:asciiTheme="minorEastAsia" w:hAnsiTheme="minorEastAsia" w:cstheme="minorEastAsia"/>
          <w:color w:val="auto"/>
          <w:kern w:val="0"/>
          <w:sz w:val="28"/>
          <w:szCs w:val="28"/>
          <w:highlight w:val="none"/>
        </w:rPr>
        <w:t>人才培养方案，认真编写教学大纲，贯彻执行课程教学大纲，围绕教学大纲的教学目标、教学任务、教学要求及教学原则开展教学，杜绝课堂教学的随意变化等。把握课堂教学内容，认真领会教学大纲，钻研教材，查阅有关参考资料，实时把控知识的思想性、科学性、合理性等。</w:t>
      </w:r>
    </w:p>
    <w:p w14:paraId="5BB6A82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师了解学生与本课学习相关的学习经验、知识储备和学科能力水平，还要对学生的学习兴趣与知识需求、发展需求以及发展路径进行分析，详细分析课时学习内容的重点和难点，以及相应解决策略、解决方法和教学技术工具。</w:t>
      </w:r>
    </w:p>
    <w:p w14:paraId="22F1D0D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根据教学整体安排及教学内容，科学编制课程授课计划，围绕授课计划，完成教学的计划性和目的性，保证教学正常进行。结合教学内容和学生的实际，确定课堂教学目标，保证教学质量。</w:t>
      </w:r>
    </w:p>
    <w:p w14:paraId="002AAD3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教师可从知识获得、能力提升、学习态度、学习方法、思维发展、价值观念培育等方面设计教学过程性评价内容、方式和工具等。通过评价，持续促进课堂学习深入发展，突出评价的诊断性、表现性以及激励性。</w:t>
      </w:r>
    </w:p>
    <w:p w14:paraId="56635B69">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四、加强课堂教学秩序与纪律督查</w:t>
      </w:r>
    </w:p>
    <w:p w14:paraId="4E05022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体育部加大听课和巡查力度，体育部领导、综合办公室、各教研室以定期和不定期的方式开展课堂教学秩序与纪律督查，并做好巡查情况记录，综合办公室制定每周教学定期巡查表。</w:t>
      </w:r>
    </w:p>
    <w:p w14:paraId="01C1071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综合办公室及时反馈教学巡查情况，处理教学异常情况。</w:t>
      </w:r>
    </w:p>
    <w:p w14:paraId="65B0854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对违反学校相关教学管理规章制度和败坏体育部教风学风的言行及时提示、提醒和批评教育，对情节严重的，及时如实报告学校相关职能部门，提请学校相关职能部门根据有关制度严肃处理。</w:t>
      </w:r>
    </w:p>
    <w:p w14:paraId="54FDE7EC">
      <w:pPr>
        <w:snapToGrid w:val="0"/>
        <w:spacing w:line="440" w:lineRule="exact"/>
        <w:jc w:val="left"/>
        <w:rPr>
          <w:rFonts w:hint="eastAsia" w:asciiTheme="minorEastAsia" w:hAnsiTheme="minorEastAsia" w:cstheme="minorEastAsia"/>
          <w:color w:val="auto"/>
          <w:kern w:val="0"/>
          <w:sz w:val="28"/>
          <w:szCs w:val="28"/>
          <w:highlight w:val="none"/>
        </w:rPr>
      </w:pPr>
    </w:p>
    <w:p w14:paraId="28B74021">
      <w:pPr>
        <w:spacing w:line="440" w:lineRule="exact"/>
        <w:ind w:firstLine="5040" w:firstLineChars="1800"/>
        <w:rPr>
          <w:rFonts w:hint="eastAsia" w:asciiTheme="minorEastAsia" w:hAnsiTheme="minorEastAsia"/>
          <w:color w:val="auto"/>
          <w:sz w:val="28"/>
          <w:szCs w:val="28"/>
        </w:rPr>
      </w:pP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stheme="minorEastAsia"/>
          <w:color w:val="auto"/>
          <w:kern w:val="0"/>
          <w:sz w:val="28"/>
          <w:szCs w:val="28"/>
          <w:highlight w:val="none"/>
        </w:rPr>
        <w:t xml:space="preserve"> </w:t>
      </w: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olor w:val="auto"/>
          <w:sz w:val="28"/>
          <w:szCs w:val="28"/>
        </w:rPr>
        <w:t>体育部</w:t>
      </w:r>
    </w:p>
    <w:p w14:paraId="2227D5A8">
      <w:pPr>
        <w:snapToGrid w:val="0"/>
        <w:spacing w:line="440" w:lineRule="exact"/>
        <w:ind w:firstLine="560" w:firstLineChars="200"/>
        <w:jc w:val="right"/>
        <w:rPr>
          <w:rFonts w:hint="eastAsia" w:ascii="宋体" w:hAnsi="宋体" w:eastAsia="宋体" w:cs="宋体"/>
          <w:color w:val="auto"/>
          <w:sz w:val="28"/>
          <w:szCs w:val="28"/>
          <w:highlight w:val="none"/>
        </w:rPr>
      </w:pP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 xml:space="preserve"> 年 </w:t>
      </w:r>
      <w:r>
        <w:rPr>
          <w:rFonts w:hint="eastAsia" w:ascii="Times New Roman" w:hAnsi="Times New Roman" w:eastAsia="宋体" w:cs="Times New Roman"/>
          <w:color w:val="auto"/>
          <w:sz w:val="28"/>
          <w:szCs w:val="28"/>
          <w:highlight w:val="none"/>
          <w:lang w:val="en-US" w:eastAsia="zh-CN"/>
        </w:rPr>
        <w:t>3</w:t>
      </w:r>
      <w:r>
        <w:rPr>
          <w:rFonts w:hint="eastAsia" w:ascii="宋体" w:hAnsi="宋体" w:eastAsia="宋体" w:cs="宋体"/>
          <w:color w:val="auto"/>
          <w:sz w:val="28"/>
          <w:szCs w:val="28"/>
          <w:highlight w:val="none"/>
        </w:rPr>
        <w:t>月</w:t>
      </w:r>
    </w:p>
    <w:p w14:paraId="4312CCE0">
      <w:pPr>
        <w:pStyle w:val="12"/>
        <w:jc w:val="both"/>
      </w:pPr>
    </w:p>
    <w:p w14:paraId="5B0BE96B">
      <w:pPr>
        <w:pStyle w:val="3"/>
        <w:keepNext/>
        <w:keepLines/>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imes New Roman" w:hAnsi="Times New Roman" w:eastAsia="黑体" w:cstheme="minorBidi"/>
          <w:b/>
          <w:color w:val="auto"/>
          <w:kern w:val="2"/>
          <w:sz w:val="36"/>
          <w:szCs w:val="36"/>
          <w:lang w:val="en-US" w:eastAsia="zh-CN" w:bidi="ar-SA"/>
        </w:rPr>
      </w:pPr>
      <w:bookmarkStart w:id="9" w:name="_Toc630"/>
      <w:r>
        <w:rPr>
          <w:rFonts w:hint="eastAsia" w:ascii="Times New Roman" w:hAnsi="Times New Roman"/>
          <w:color w:val="auto"/>
          <w:sz w:val="36"/>
          <w:szCs w:val="36"/>
          <w:lang w:val="en-US" w:eastAsia="zh-CN"/>
        </w:rPr>
        <w:t>体育部</w:t>
      </w:r>
      <w:r>
        <w:rPr>
          <w:rFonts w:hint="eastAsia" w:ascii="Times New Roman" w:hAnsi="Times New Roman" w:eastAsia="黑体" w:cstheme="minorBidi"/>
          <w:b/>
          <w:color w:val="auto"/>
          <w:kern w:val="2"/>
          <w:sz w:val="36"/>
          <w:szCs w:val="36"/>
          <w:lang w:val="en-US" w:eastAsia="zh-CN" w:bidi="ar-SA"/>
        </w:rPr>
        <w:t>听课管理办法</w:t>
      </w:r>
      <w:bookmarkEnd w:id="9"/>
    </w:p>
    <w:p w14:paraId="5634A7B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为贯彻落实教育部《关于加快建设高水平本科教育全面提高人才培养能力的意见》精神，加强教学过程管理，提高教学质量，提升教师授课水平，促进教风建设，根据《湖南女子学院听课制度（修订）》（湘女院通字〔2017〕118号），制定体育部领导、教师的听课规定。</w:t>
      </w:r>
    </w:p>
    <w:p w14:paraId="0A7C32A1">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一、听课人员范围及要求</w:t>
      </w:r>
    </w:p>
    <w:p w14:paraId="7461DF4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体育部领导每人每学期听课不少于</w:t>
      </w:r>
      <w:r>
        <w:rPr>
          <w:rFonts w:hint="eastAsia" w:asciiTheme="minorEastAsia" w:hAnsiTheme="minorEastAsia" w:cstheme="minorEastAsia"/>
          <w:color w:val="auto"/>
          <w:kern w:val="0"/>
          <w:sz w:val="28"/>
          <w:szCs w:val="28"/>
          <w:highlight w:val="none"/>
          <w:lang w:val="en-US" w:eastAsia="zh-CN"/>
        </w:rPr>
        <w:t>8</w:t>
      </w:r>
      <w:r>
        <w:rPr>
          <w:rFonts w:hint="eastAsia" w:asciiTheme="minorEastAsia" w:hAnsiTheme="minorEastAsia" w:cstheme="minorEastAsia"/>
          <w:color w:val="auto"/>
          <w:kern w:val="0"/>
          <w:sz w:val="28"/>
          <w:szCs w:val="28"/>
          <w:highlight w:val="none"/>
        </w:rPr>
        <w:t>课时，其中主持</w:t>
      </w:r>
      <w:r>
        <w:rPr>
          <w:rFonts w:hint="eastAsia" w:asciiTheme="minorEastAsia" w:hAnsiTheme="minorEastAsia" w:cstheme="minorEastAsia"/>
          <w:color w:val="auto"/>
          <w:kern w:val="0"/>
          <w:sz w:val="28"/>
          <w:szCs w:val="28"/>
          <w:highlight w:val="none"/>
          <w:lang w:val="en-US" w:eastAsia="zh-CN"/>
        </w:rPr>
        <w:t>教学</w:t>
      </w:r>
      <w:r>
        <w:rPr>
          <w:rFonts w:hint="eastAsia" w:asciiTheme="minorEastAsia" w:hAnsiTheme="minorEastAsia" w:cstheme="minorEastAsia"/>
          <w:color w:val="auto"/>
          <w:kern w:val="0"/>
          <w:sz w:val="28"/>
          <w:szCs w:val="28"/>
          <w:highlight w:val="none"/>
        </w:rPr>
        <w:t>工作体育部副主任每学期听课不少于10课时。</w:t>
      </w:r>
    </w:p>
    <w:p w14:paraId="1156C4E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各教研室、中心应组织教师互相观摩听课。教研室主任、中心主任每学期听课不少于8课时，其中对本教研室、中心教师每学期听课不少于2节；每位教师每学期听课不少于5课时。</w:t>
      </w:r>
    </w:p>
    <w:p w14:paraId="55F4B4B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除特殊情形外，一般可采取随机听课的办法，由听课人员自行选择时间、课程和任课教师。任课教师不得拒绝听课。听课人员应提前到达教室，与任课老师取得联系。课后，及时征询学生意见，与任课教师交流，认真填写《听课记录本》。</w:t>
      </w:r>
    </w:p>
    <w:p w14:paraId="5DA794C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听课过程中若发现教学事故、教学管理事故或其他严重问题，应及时报教务处或有关部门处理。教学督导听课按照学校有关督导管理办法执行。</w:t>
      </w:r>
    </w:p>
    <w:p w14:paraId="08E0E889">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二、听课实施方式和对象</w:t>
      </w:r>
    </w:p>
    <w:p w14:paraId="5B24B41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教学督导组成员由组长统一安排听课班期，听课对象为体育部承担教学任务的所有教师。</w:t>
      </w:r>
    </w:p>
    <w:p w14:paraId="4A38D82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听课对象为体育部承担教学任务的教师，重点是中青年教师（包括外聘教师）。采取不定期随机听课的方式，根据需要自选课程、任课教师和听课时间，事先不通知教师。</w:t>
      </w:r>
    </w:p>
    <w:p w14:paraId="6FD58A6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教研室主任采取不定期随机听课或针对性跟踪听课的方式，听课对象尽量以本教研室、中心授课老师为主。</w:t>
      </w:r>
    </w:p>
    <w:p w14:paraId="1D52DFA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新任教师要求跟班听课。</w:t>
      </w:r>
    </w:p>
    <w:p w14:paraId="71D274FB">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三、听课管理及要求</w:t>
      </w:r>
    </w:p>
    <w:p w14:paraId="27B3009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听课人员要严格遵守课堂纪律，合理利用课间休息或课后时间与学生和教师交流，认真听取学生和教师的意见和建议。</w:t>
      </w:r>
    </w:p>
    <w:p w14:paraId="5B32568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听课和检查的内容主要包括教师备课、讲授情况、学生学习情况、课堂纪律等。评价内容包括教学态度、教学内容、教学方法、教学效果等。听课方式以随堂听课、随机听课、重点听课为主，包括为解决教学质量或其他重大问题而特别组织的重点听课、联合听课；为交流教学经验、推广先进教学法而组织的示范观摩听课；听课人自由选择的听课等。</w:t>
      </w:r>
    </w:p>
    <w:p w14:paraId="4F52C0E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听课人员要认真填写查课记录或教师听课记录，及时填写《课堂教学评价表》。由教学督导不定期收集、整理、汇总和反馈。对在听课过程中发现的各种问题，要及时反馈给相关单位或教师本人，并督促其加以研究和解决。</w:t>
      </w:r>
    </w:p>
    <w:p w14:paraId="634EDFD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听课人员要坚持听课的规范化和制度化，除承担教学任务期间的教师可适当减少听课学时外，其他各类听课人员必须严格按照标准完成听课学时的要求。体育部将把听课人员是否按照要求深入课堂听课纳入干部年终考核内容。</w:t>
      </w:r>
    </w:p>
    <w:p w14:paraId="786A72E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听课是教学活动的一项重要内容，体育部</w:t>
      </w:r>
      <w:r>
        <w:rPr>
          <w:rFonts w:hint="eastAsia" w:asciiTheme="minorEastAsia" w:hAnsiTheme="minorEastAsia" w:cstheme="minorEastAsia"/>
          <w:color w:val="auto"/>
          <w:kern w:val="0"/>
          <w:sz w:val="28"/>
          <w:szCs w:val="28"/>
          <w:highlight w:val="none"/>
          <w:lang w:val="en-US" w:eastAsia="zh-CN"/>
        </w:rPr>
        <w:t>部门</w:t>
      </w:r>
      <w:r>
        <w:rPr>
          <w:rFonts w:hint="eastAsia" w:asciiTheme="minorEastAsia" w:hAnsiTheme="minorEastAsia" w:cstheme="minorEastAsia"/>
          <w:color w:val="auto"/>
          <w:kern w:val="0"/>
          <w:sz w:val="28"/>
          <w:szCs w:val="28"/>
          <w:highlight w:val="none"/>
        </w:rPr>
        <w:t>领导、教师教学管理人员都有责任参加，各位任课教师都有义务接受听课和督促。听课人员的听课结果将作为教师教学质量评价的重要依据和课程建设的重要指标之一。</w:t>
      </w:r>
    </w:p>
    <w:p w14:paraId="311636C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29B36B1">
      <w:pPr>
        <w:spacing w:line="440" w:lineRule="exact"/>
        <w:ind w:firstLine="5040" w:firstLineChars="1800"/>
        <w:rPr>
          <w:rFonts w:hint="eastAsia" w:asciiTheme="minorEastAsia" w:hAnsiTheme="minorEastAsia"/>
          <w:color w:val="auto"/>
          <w:sz w:val="28"/>
          <w:szCs w:val="28"/>
        </w:rPr>
      </w:pP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stheme="minorEastAsia"/>
          <w:color w:val="auto"/>
          <w:kern w:val="0"/>
          <w:sz w:val="28"/>
          <w:szCs w:val="28"/>
          <w:highlight w:val="none"/>
        </w:rPr>
        <w:t xml:space="preserve"> </w:t>
      </w: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olor w:val="auto"/>
          <w:sz w:val="28"/>
          <w:szCs w:val="28"/>
        </w:rPr>
        <w:t>体育部</w:t>
      </w:r>
    </w:p>
    <w:p w14:paraId="51251637">
      <w:pPr>
        <w:snapToGrid w:val="0"/>
        <w:spacing w:line="440" w:lineRule="exact"/>
        <w:ind w:firstLine="560" w:firstLineChars="200"/>
        <w:jc w:val="right"/>
        <w:rPr>
          <w:rFonts w:asciiTheme="minorEastAsia" w:hAnsiTheme="minorEastAsia" w:cstheme="minorEastAsia"/>
          <w:color w:val="auto"/>
          <w:sz w:val="28"/>
          <w:szCs w:val="28"/>
          <w:highlight w:val="none"/>
        </w:rPr>
      </w:pP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 xml:space="preserve">年 </w:t>
      </w:r>
      <w:r>
        <w:rPr>
          <w:rFonts w:hint="eastAsia" w:ascii="Times New Roman" w:hAnsi="Times New Roman" w:eastAsia="宋体" w:cs="Times New Roman"/>
          <w:color w:val="auto"/>
          <w:sz w:val="28"/>
          <w:szCs w:val="28"/>
          <w:highlight w:val="none"/>
          <w:lang w:val="en-US" w:eastAsia="zh-CN"/>
        </w:rPr>
        <w:t>3</w:t>
      </w:r>
      <w:r>
        <w:rPr>
          <w:rFonts w:hint="eastAsia" w:ascii="宋体" w:hAnsi="宋体" w:eastAsia="宋体" w:cs="宋体"/>
          <w:color w:val="auto"/>
          <w:sz w:val="28"/>
          <w:szCs w:val="28"/>
          <w:highlight w:val="none"/>
        </w:rPr>
        <w:t>月</w:t>
      </w:r>
    </w:p>
    <w:p w14:paraId="6E69B7F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528651D1">
      <w:pPr>
        <w:pStyle w:val="12"/>
        <w:rPr>
          <w:rFonts w:hint="eastAsia" w:asciiTheme="minorEastAsia" w:hAnsiTheme="minorEastAsia" w:cstheme="minorEastAsia"/>
          <w:color w:val="auto"/>
          <w:kern w:val="0"/>
          <w:sz w:val="28"/>
          <w:szCs w:val="28"/>
          <w:highlight w:val="none"/>
        </w:rPr>
      </w:pPr>
    </w:p>
    <w:p w14:paraId="3C86DD4E">
      <w:pPr>
        <w:rPr>
          <w:rFonts w:hint="eastAsia" w:asciiTheme="minorEastAsia" w:hAnsiTheme="minorEastAsia" w:cstheme="minorEastAsia"/>
          <w:color w:val="auto"/>
          <w:kern w:val="0"/>
          <w:sz w:val="28"/>
          <w:szCs w:val="28"/>
          <w:highlight w:val="none"/>
        </w:rPr>
      </w:pPr>
    </w:p>
    <w:p w14:paraId="58037266">
      <w:pPr>
        <w:pStyle w:val="12"/>
        <w:rPr>
          <w:rFonts w:hint="eastAsia" w:asciiTheme="minorEastAsia" w:hAnsiTheme="minorEastAsia" w:cstheme="minorEastAsia"/>
          <w:color w:val="auto"/>
          <w:kern w:val="0"/>
          <w:sz w:val="28"/>
          <w:szCs w:val="28"/>
          <w:highlight w:val="none"/>
        </w:rPr>
      </w:pPr>
    </w:p>
    <w:p w14:paraId="2319DE90">
      <w:pPr>
        <w:rPr>
          <w:rFonts w:hint="eastAsia"/>
        </w:rPr>
      </w:pPr>
    </w:p>
    <w:p w14:paraId="0DEC84BC">
      <w:pPr>
        <w:pStyle w:val="3"/>
        <w:keepNext/>
        <w:keepLines/>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imes New Roman" w:hAnsi="Times New Roman"/>
          <w:color w:val="auto"/>
          <w:sz w:val="36"/>
          <w:szCs w:val="36"/>
          <w:lang w:val="en-US" w:eastAsia="zh-CN"/>
        </w:rPr>
      </w:pPr>
      <w:bookmarkStart w:id="10" w:name="_Toc17673"/>
      <w:r>
        <w:rPr>
          <w:rFonts w:hint="eastAsia" w:ascii="Times New Roman" w:hAnsi="Times New Roman"/>
          <w:color w:val="auto"/>
          <w:sz w:val="36"/>
          <w:szCs w:val="36"/>
          <w:lang w:val="en-US" w:eastAsia="zh-CN"/>
        </w:rPr>
        <w:t>体育部本科教学二级督导工作管理办法</w:t>
      </w:r>
      <w:bookmarkEnd w:id="10"/>
    </w:p>
    <w:p w14:paraId="51E847A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为进一步完善体育部教育教学质量保障与监控体系，巩固体育部教学质量，提高教学水平，根据《湖南女子学院教师课堂教学质量评价办法》《湖南女子学院教学督导工作条例（修订）》（湘女院通字〔2018〕108号）等文件精神，特制定本办法。</w:t>
      </w:r>
    </w:p>
    <w:p w14:paraId="120E8A53">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一、总则</w:t>
      </w:r>
    </w:p>
    <w:p w14:paraId="2B1CC5D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体育部教学督导团是体育部教育教学工作的监督、评价和咨询机构，是校院两级教育教学质量保障与监控体系的重要组成部分。</w:t>
      </w:r>
    </w:p>
    <w:p w14:paraId="4C548C5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体育部教学督导团在体育部教学工作指导委员会的领导下，对体育部的教学质量、教学管理、教学过程、教学秩序等进行适时地监督、检查、评价和指导；在充分调研的基础上，为体育部发展和教育教学改革提出建议、决策和咨询。</w:t>
      </w:r>
    </w:p>
    <w:p w14:paraId="3FDA12F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教学督导工作贯彻“客观、公开、公平、公正”和“以督导教，以督促教；以督导学，以督促学；以督导管，以督促管”的原则。</w:t>
      </w:r>
    </w:p>
    <w:p w14:paraId="3B8D977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制定本办法的目的旨在落实“以学生为核心”的精神，帮助教师特别是青年教师增强教学能力，提高教学水平。督导过程强调按照各主要教学环节的质量标准进行监督和指导。考核内容强调课内外相结合，考核内容除了关注课堂教学以外，还要重视课外环节。</w:t>
      </w:r>
    </w:p>
    <w:p w14:paraId="4A9CCA71">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二、组织机构</w:t>
      </w:r>
    </w:p>
    <w:p w14:paraId="277A2FD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体育部教学督导团由体育部领导班子成员、具有高级职称的在职教师担任的兼职督导（2 - 3人）、教学助理及各教研室等人员组成，由体育部教学工作指导委员会聘任，每届任期两年。督导团由体育部主任担任团长，体育部副主任担任副团长，兼职督导担任执行副团长，</w:t>
      </w:r>
      <w:r>
        <w:rPr>
          <w:rFonts w:hint="eastAsia" w:asciiTheme="minorEastAsia" w:hAnsiTheme="minorEastAsia" w:cstheme="minorEastAsia"/>
          <w:color w:val="auto"/>
          <w:kern w:val="0"/>
          <w:sz w:val="28"/>
          <w:szCs w:val="28"/>
          <w:highlight w:val="none"/>
          <w:lang w:val="en-US" w:eastAsia="zh-CN"/>
        </w:rPr>
        <w:t>综合办主任</w:t>
      </w:r>
      <w:r>
        <w:rPr>
          <w:rFonts w:hint="eastAsia" w:asciiTheme="minorEastAsia" w:hAnsiTheme="minorEastAsia" w:cstheme="minorEastAsia"/>
          <w:color w:val="auto"/>
          <w:kern w:val="0"/>
          <w:sz w:val="28"/>
          <w:szCs w:val="28"/>
          <w:highlight w:val="none"/>
        </w:rPr>
        <w:t>兼任督导团秘书。</w:t>
      </w:r>
    </w:p>
    <w:p w14:paraId="35A5A29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学督导要以高度负责的态度完成各项监督、检查和评价工作，做好工作记录。按照客观、公平、公正的原则完成各项评估和评优工作。教学督导对教学管理部门、教学部门的教学管理规章制度、教育教学文件的建立和执行情况及相关事项有知情权和调阅权；对教师教案、学生听课笔记及作业有随机查阅权；对任课教师和学生有教学效果的质询权；对违纪的管理人员、教师和学生有进行查问登记、批评教育权。同时，教学督导直接进入体育部各种教学评审和评奖的评委。</w:t>
      </w:r>
    </w:p>
    <w:p w14:paraId="1808C8D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三、督导内容</w:t>
      </w:r>
    </w:p>
    <w:p w14:paraId="7D6F6EA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督导工作内容具体包括课堂教学、实践教学（如体育竞赛、体能训练等）、日常教学检查及毕业论文/设计等环节督查。其中，课堂教学是督导工作的重点。</w:t>
      </w:r>
    </w:p>
    <w:p w14:paraId="5C10DAD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四、督导工作流程</w:t>
      </w:r>
    </w:p>
    <w:p w14:paraId="00E4629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（一）课堂教学</w:t>
      </w:r>
    </w:p>
    <w:p w14:paraId="4E4EC3F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以体育部为单位，体育部督导团组织教师开展示范课、公开课听课活动及相互听课。</w:t>
      </w:r>
    </w:p>
    <w:p w14:paraId="6EC7860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听课结束后，由体育部综合办公室组织开展评课活动，参与听课教师积极发表自己的看法。</w:t>
      </w:r>
    </w:p>
    <w:p w14:paraId="4C781CB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综合办公室记录整理评课内容，并在活动结束后形成听课总结。</w:t>
      </w:r>
    </w:p>
    <w:p w14:paraId="690CF8A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（二）实践教学</w:t>
      </w:r>
    </w:p>
    <w:p w14:paraId="3226F76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以教研室为单位，体育部督导团组织各专业内有实践教学的教师相互听课，填写实践教学水平评估表。</w:t>
      </w:r>
    </w:p>
    <w:p w14:paraId="033F345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院督导团组织对各专业实践教学相关工作情况进行检查，对检查情况上报体育部。</w:t>
      </w:r>
    </w:p>
    <w:p w14:paraId="7792267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对于体育竞赛、体能训练等特色实践课程，督导团应重点关注教学方法、学生参与度及训练效果。</w:t>
      </w:r>
    </w:p>
    <w:p w14:paraId="5B24DCD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（三）日常检查</w:t>
      </w:r>
    </w:p>
    <w:p w14:paraId="3B1D1B0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由主持工作体育部副主任负责，体育部兼职督导、综合办公室、学生体质健康监测中心协助完成。</w:t>
      </w:r>
    </w:p>
    <w:p w14:paraId="280C561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各教研室主任负责整理提交相关资料，综合办公室协助完成。</w:t>
      </w:r>
    </w:p>
    <w:p w14:paraId="59FEF43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五、附则</w:t>
      </w:r>
    </w:p>
    <w:p w14:paraId="0168106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本办法未尽事宜，执行学校有关教学管理的规定；与学校有关规定冲突的，执行学校的有关规定。</w:t>
      </w:r>
    </w:p>
    <w:p w14:paraId="30A48E41">
      <w:pPr>
        <w:spacing w:line="440" w:lineRule="exact"/>
        <w:ind w:firstLine="5040" w:firstLineChars="1800"/>
        <w:rPr>
          <w:rFonts w:hint="eastAsia" w:asciiTheme="minorEastAsia" w:hAnsiTheme="minorEastAsia"/>
          <w:color w:val="auto"/>
          <w:sz w:val="28"/>
          <w:szCs w:val="28"/>
        </w:rPr>
      </w:pP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stheme="minorEastAsia"/>
          <w:color w:val="auto"/>
          <w:kern w:val="0"/>
          <w:sz w:val="28"/>
          <w:szCs w:val="28"/>
          <w:highlight w:val="none"/>
        </w:rPr>
        <w:t xml:space="preserve"> </w:t>
      </w: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olor w:val="auto"/>
          <w:sz w:val="28"/>
          <w:szCs w:val="28"/>
        </w:rPr>
        <w:t>体育部</w:t>
      </w:r>
    </w:p>
    <w:p w14:paraId="76DADD8B">
      <w:pPr>
        <w:snapToGrid w:val="0"/>
        <w:spacing w:line="440" w:lineRule="exact"/>
        <w:ind w:firstLine="560" w:firstLineChars="200"/>
        <w:jc w:val="right"/>
        <w:rPr>
          <w:rFonts w:asciiTheme="minorEastAsia" w:hAnsiTheme="minorEastAsia" w:cstheme="minorEastAsia"/>
          <w:color w:val="auto"/>
          <w:sz w:val="28"/>
          <w:szCs w:val="28"/>
          <w:highlight w:val="none"/>
        </w:rPr>
      </w:pP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 xml:space="preserve">年 </w:t>
      </w:r>
      <w:r>
        <w:rPr>
          <w:rFonts w:hint="eastAsia" w:ascii="Times New Roman" w:hAnsi="Times New Roman" w:eastAsia="宋体" w:cs="Times New Roman"/>
          <w:color w:val="auto"/>
          <w:sz w:val="28"/>
          <w:szCs w:val="28"/>
          <w:highlight w:val="none"/>
          <w:lang w:val="en-US" w:eastAsia="zh-CN"/>
        </w:rPr>
        <w:t>3</w:t>
      </w:r>
      <w:r>
        <w:rPr>
          <w:rFonts w:hint="eastAsia" w:ascii="宋体" w:hAnsi="宋体" w:eastAsia="宋体" w:cs="宋体"/>
          <w:color w:val="auto"/>
          <w:sz w:val="28"/>
          <w:szCs w:val="28"/>
          <w:highlight w:val="none"/>
        </w:rPr>
        <w:t>月</w:t>
      </w:r>
    </w:p>
    <w:p w14:paraId="0D23278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722252C9">
      <w:pPr>
        <w:pStyle w:val="3"/>
        <w:keepNext/>
        <w:keepLines/>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imes New Roman" w:hAnsi="Times New Roman" w:eastAsia="黑体" w:cstheme="minorBidi"/>
          <w:b/>
          <w:color w:val="auto"/>
          <w:kern w:val="2"/>
          <w:sz w:val="36"/>
          <w:szCs w:val="36"/>
          <w:lang w:val="en-US" w:eastAsia="zh-CN" w:bidi="ar-SA"/>
        </w:rPr>
      </w:pPr>
      <w:bookmarkStart w:id="11" w:name="_Toc14719"/>
      <w:r>
        <w:rPr>
          <w:rFonts w:hint="eastAsia" w:ascii="Times New Roman" w:hAnsi="Times New Roman" w:eastAsia="黑体" w:cstheme="minorBidi"/>
          <w:b/>
          <w:color w:val="auto"/>
          <w:kern w:val="2"/>
          <w:sz w:val="36"/>
          <w:szCs w:val="36"/>
          <w:lang w:val="en-US" w:eastAsia="zh-CN" w:bidi="ar-SA"/>
        </w:rPr>
        <w:t>体育部日常教学规范</w:t>
      </w:r>
      <w:bookmarkEnd w:id="11"/>
    </w:p>
    <w:p w14:paraId="37EB756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 xml:space="preserve">为进一步加强常规教学管理，维护正常的教学秩序，促进教学质量的提高，特制订以下规范: </w:t>
      </w:r>
    </w:p>
    <w:p w14:paraId="6208EFA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 xml:space="preserve">1.教师必须严格按照教学计划和课程表上课，未经批准，一律不准随意停课、调课。 </w:t>
      </w:r>
    </w:p>
    <w:p w14:paraId="4FE04C6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2.教师应按时上下课，不迟到、不早退，要提前5分钟到课堂（场地) ，检查器材场地。教师上课必须注意仪表、教态，教学时教师必须着运动装，上课时不允许坐、靠、蹲、吸烟、与人闲谈，玩手机等。</w:t>
      </w:r>
    </w:p>
    <w:p w14:paraId="65D6CBC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 xml:space="preserve">3.教师如因故不能上课，不得自行调课、找他人代课和合班上课，需事先出示调课理由并填写调课单，经部门和教务处批准后，方可调课。 </w:t>
      </w:r>
    </w:p>
    <w:p w14:paraId="519B68C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 xml:space="preserve">4.任何人不准因天气原因自行停课。 </w:t>
      </w:r>
    </w:p>
    <w:p w14:paraId="1316B99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 xml:space="preserve">5.教师每次授课必经认真备课、写好教案，上课应带教学大纲、教案、授课计划，教材，以利于学校教学督导的随机检查。 </w:t>
      </w:r>
    </w:p>
    <w:p w14:paraId="71F6AA9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 xml:space="preserve">6.任课教师上课应做好学生考勤工作。 </w:t>
      </w:r>
    </w:p>
    <w:p w14:paraId="19168B4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 xml:space="preserve">7.教师新开设的课程需先试讲，经资深同行评审后方能开课。 </w:t>
      </w:r>
    </w:p>
    <w:p w14:paraId="3EA303E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 xml:space="preserve">8.新老教师要注意相互学习、优势互补、共同提高，不断更新知识，更新观念、提高教学水平和教学质量。 </w:t>
      </w:r>
    </w:p>
    <w:p w14:paraId="445991E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9.使用统一的上课、下课队列及解散仪式。</w:t>
      </w:r>
    </w:p>
    <w:p w14:paraId="1180ECAC">
      <w:pPr>
        <w:spacing w:line="440" w:lineRule="exact"/>
        <w:ind w:firstLine="5040" w:firstLineChars="1800"/>
        <w:rPr>
          <w:rFonts w:hint="eastAsia" w:asciiTheme="minorEastAsia" w:hAnsiTheme="minorEastAsia"/>
          <w:color w:val="auto"/>
          <w:sz w:val="28"/>
          <w:szCs w:val="28"/>
        </w:rPr>
      </w:pP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stheme="minorEastAsia"/>
          <w:color w:val="auto"/>
          <w:kern w:val="0"/>
          <w:sz w:val="28"/>
          <w:szCs w:val="28"/>
          <w:highlight w:val="none"/>
        </w:rPr>
        <w:t xml:space="preserve"> </w:t>
      </w: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olor w:val="auto"/>
          <w:sz w:val="28"/>
          <w:szCs w:val="28"/>
        </w:rPr>
        <w:t>体育部</w:t>
      </w:r>
    </w:p>
    <w:p w14:paraId="5D330C1F">
      <w:pPr>
        <w:snapToGrid w:val="0"/>
        <w:spacing w:line="440" w:lineRule="exact"/>
        <w:ind w:firstLine="560" w:firstLineChars="200"/>
        <w:jc w:val="right"/>
        <w:rPr>
          <w:rFonts w:hint="eastAsia" w:ascii="宋体" w:hAnsi="宋体" w:eastAsia="宋体" w:cs="宋体"/>
          <w:color w:val="auto"/>
          <w:sz w:val="28"/>
          <w:szCs w:val="28"/>
          <w:highlight w:val="none"/>
        </w:rPr>
      </w:pP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 xml:space="preserve">年 </w:t>
      </w:r>
      <w:r>
        <w:rPr>
          <w:rFonts w:hint="eastAsia" w:ascii="Times New Roman" w:hAnsi="Times New Roman" w:eastAsia="宋体" w:cs="Times New Roman"/>
          <w:color w:val="auto"/>
          <w:sz w:val="28"/>
          <w:szCs w:val="28"/>
          <w:highlight w:val="none"/>
          <w:lang w:val="en-US" w:eastAsia="zh-CN"/>
        </w:rPr>
        <w:t>3</w:t>
      </w:r>
      <w:r>
        <w:rPr>
          <w:rFonts w:hint="eastAsia" w:ascii="宋体" w:hAnsi="宋体" w:eastAsia="宋体" w:cs="宋体"/>
          <w:color w:val="auto"/>
          <w:sz w:val="28"/>
          <w:szCs w:val="28"/>
          <w:highlight w:val="none"/>
        </w:rPr>
        <w:t>月</w:t>
      </w:r>
    </w:p>
    <w:p w14:paraId="7B110DCD">
      <w:pPr>
        <w:snapToGrid w:val="0"/>
        <w:spacing w:line="440" w:lineRule="exact"/>
        <w:ind w:firstLine="560" w:firstLineChars="200"/>
        <w:jc w:val="right"/>
        <w:rPr>
          <w:rFonts w:hint="eastAsia" w:ascii="宋体" w:hAnsi="宋体" w:eastAsia="宋体" w:cs="宋体"/>
          <w:color w:val="auto"/>
          <w:sz w:val="28"/>
          <w:szCs w:val="28"/>
          <w:highlight w:val="none"/>
        </w:rPr>
      </w:pPr>
    </w:p>
    <w:p w14:paraId="75141FB2">
      <w:pPr>
        <w:snapToGrid w:val="0"/>
        <w:spacing w:line="440" w:lineRule="exact"/>
        <w:ind w:firstLine="560" w:firstLineChars="200"/>
        <w:jc w:val="right"/>
        <w:rPr>
          <w:rFonts w:hint="eastAsia" w:ascii="宋体" w:hAnsi="宋体" w:eastAsia="宋体" w:cs="宋体"/>
          <w:color w:val="auto"/>
          <w:sz w:val="28"/>
          <w:szCs w:val="28"/>
          <w:highlight w:val="none"/>
        </w:rPr>
      </w:pPr>
    </w:p>
    <w:p w14:paraId="0A9F5B76">
      <w:pPr>
        <w:snapToGrid w:val="0"/>
        <w:spacing w:line="440" w:lineRule="exact"/>
        <w:ind w:firstLine="560" w:firstLineChars="200"/>
        <w:jc w:val="right"/>
        <w:rPr>
          <w:rFonts w:hint="eastAsia" w:ascii="宋体" w:hAnsi="宋体" w:eastAsia="宋体" w:cs="宋体"/>
          <w:color w:val="auto"/>
          <w:sz w:val="28"/>
          <w:szCs w:val="28"/>
          <w:highlight w:val="none"/>
        </w:rPr>
      </w:pPr>
    </w:p>
    <w:p w14:paraId="7A341392">
      <w:pPr>
        <w:snapToGrid w:val="0"/>
        <w:spacing w:line="440" w:lineRule="exact"/>
        <w:ind w:firstLine="560" w:firstLineChars="200"/>
        <w:jc w:val="right"/>
        <w:rPr>
          <w:rFonts w:hint="eastAsia" w:ascii="宋体" w:hAnsi="宋体" w:eastAsia="宋体" w:cs="宋体"/>
          <w:color w:val="auto"/>
          <w:sz w:val="28"/>
          <w:szCs w:val="28"/>
          <w:highlight w:val="none"/>
        </w:rPr>
      </w:pPr>
    </w:p>
    <w:p w14:paraId="5234B8BE">
      <w:pPr>
        <w:snapToGrid w:val="0"/>
        <w:spacing w:line="440" w:lineRule="exact"/>
        <w:ind w:firstLine="560" w:firstLineChars="200"/>
        <w:jc w:val="right"/>
        <w:rPr>
          <w:rFonts w:hint="eastAsia" w:ascii="宋体" w:hAnsi="宋体" w:eastAsia="宋体" w:cs="宋体"/>
          <w:color w:val="auto"/>
          <w:sz w:val="28"/>
          <w:szCs w:val="28"/>
          <w:highlight w:val="none"/>
        </w:rPr>
      </w:pPr>
    </w:p>
    <w:p w14:paraId="54EE35BB">
      <w:pPr>
        <w:snapToGrid w:val="0"/>
        <w:spacing w:line="440" w:lineRule="exact"/>
        <w:ind w:firstLine="560" w:firstLineChars="200"/>
        <w:jc w:val="right"/>
        <w:rPr>
          <w:rFonts w:hint="eastAsia" w:ascii="宋体" w:hAnsi="宋体" w:eastAsia="宋体" w:cs="宋体"/>
          <w:color w:val="auto"/>
          <w:sz w:val="28"/>
          <w:szCs w:val="28"/>
          <w:highlight w:val="none"/>
        </w:rPr>
      </w:pPr>
    </w:p>
    <w:p w14:paraId="7C8F9ACE">
      <w:pPr>
        <w:pStyle w:val="3"/>
        <w:keepNext/>
        <w:keepLines/>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imes New Roman" w:hAnsi="Times New Roman"/>
          <w:color w:val="auto"/>
          <w:sz w:val="36"/>
          <w:szCs w:val="36"/>
          <w:lang w:val="en-US" w:eastAsia="zh-CN"/>
        </w:rPr>
      </w:pPr>
      <w:bookmarkStart w:id="12" w:name="_Toc5759"/>
      <w:r>
        <w:rPr>
          <w:rFonts w:hint="eastAsia" w:ascii="Times New Roman" w:hAnsi="Times New Roman" w:eastAsia="黑体" w:cstheme="minorBidi"/>
          <w:b/>
          <w:color w:val="auto"/>
          <w:kern w:val="2"/>
          <w:sz w:val="36"/>
          <w:szCs w:val="36"/>
          <w:lang w:val="en-US" w:eastAsia="zh-CN" w:bidi="ar-SA"/>
        </w:rPr>
        <w:t>湖南女子学院运动队训练竞赛及学院阳光体育竞赛管理制度</w:t>
      </w:r>
      <w:bookmarkEnd w:id="12"/>
    </w:p>
    <w:p w14:paraId="2739D18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为了贯彻党的教育方针，促进学生德、智、体全面发展，使学生在校期间掌握体育的基本知识、技术和技能，养成良好的锻炼习惯，促进学生的个性发展和竞技水平不断提高的目的，根据教育部、国家体育总局有关《学校体育工作条例》（中华人民共和国国家教育委员会令第8号、1990年3月12日发布）和教育部关于印发《高等学校体育工作基本标准》的通知（教体艺[2014]4号）、教育部关于印发《国家学生体质健康标准（2014年修订）》的通知（教体艺〔2014〕5号）的文件精神，现结合我校实际情况，特制定湖南女子学院运动队训练竞赛、学生课外体育活动实施方案</w:t>
      </w:r>
    </w:p>
    <w:p w14:paraId="1C763E47">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一、组织领导机构</w:t>
      </w:r>
    </w:p>
    <w:p w14:paraId="09CCC52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由体育部主管校领导直接领导，体育部协同教务处、学生处、财务处、后勤处、校团委和各学院共同组织，由体育部具体负责学校运动队训练竞赛、学生课外体育活动的方案制定与实施。</w:t>
      </w:r>
    </w:p>
    <w:p w14:paraId="458E5CA2">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二、要求与标准</w:t>
      </w:r>
    </w:p>
    <w:p w14:paraId="0D1C40A1">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（一）、运动队训练竞赛</w:t>
      </w:r>
    </w:p>
    <w:p w14:paraId="290EF89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1、运动队的组建</w:t>
      </w:r>
    </w:p>
    <w:p w14:paraId="3BE90D9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学校运动队训练项目定位为群众基础广泛、深受学生欢迎、有一定成绩及影响力大的一些运动项目；参赛运动队依据当年全国、全省大学生运动会及各单项的具体参赛项目而定。每年为4至5个项目组队参赛（4年一届的省大学生运会年可增加2个）。</w:t>
      </w:r>
    </w:p>
    <w:p w14:paraId="0E529484">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1.1申报比赛时，对参赛运动员进行测试，每个项目测试指标由主教练员事先与训练计划一起呈交体育部办公室。由教练员上报比赛运动员人数、测试时间，由小组组织测试，并根据测试成绩与常规训练前成绩比较，有较大提高的队伍且与湖南省近年比赛水平接近者，由体育部讨论决定参赛。其中如前一年未有取得省级赛事前六名的，本年度至少暂停参赛一年，如希望参赛，经费自筹。</w:t>
      </w:r>
    </w:p>
    <w:p w14:paraId="52265EA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1.2参加运动队训练的运动员数、每周训练的次数、时间、地点由主教练在训练计划中申请，经部门批准后实施。</w:t>
      </w:r>
    </w:p>
    <w:p w14:paraId="4D84F42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1.3运动队经费依据部门统筹全年参赛经费额度，依据参赛项目数以及每项目预计产生的经费统筹分配。</w:t>
      </w:r>
    </w:p>
    <w:p w14:paraId="625355A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2、教练员的确定</w:t>
      </w:r>
    </w:p>
    <w:p w14:paraId="4ED167F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2.1针对目标任务和专项特长进行招聘教练员，当申请人数多于实际所需人数时由体育部组织竞聘等方式决定。</w:t>
      </w:r>
    </w:p>
    <w:p w14:paraId="470AF9D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2.2比赛队教练员每队主教练1人，助理教练1-2人。考虑到部门教师绩效分配与学校年度考核目标任务，主教练原则上每年轮换一次。</w:t>
      </w:r>
    </w:p>
    <w:p w14:paraId="1EEAFA1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2.3如有教师想申请组建其它项目的训练队，可提前书面申请，由部务会根据实际情况讨论决定。</w:t>
      </w:r>
    </w:p>
    <w:p w14:paraId="41FFDCD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3、参赛队训练课时与绩效分配</w:t>
      </w:r>
    </w:p>
    <w:p w14:paraId="12DD962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3.1教练员训练视为教学课程，纳入教学管理，学期末教学检查有：训练计划、总结、考勤记录等相关材料。</w:t>
      </w:r>
    </w:p>
    <w:p w14:paraId="59150A7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3.2赛前训练不少于8周，每周不少于三次；赛前3周每周训练5次，每次训练不少于90分钟。依据当年《湖南女子学院学生学科竞赛管理办法》统计课时，如：湘女院行字〔2023〕145 号的文件，其中 A+类和 A 类学科竞赛课程学时数最高不超过 50 课时。课时分配依据贡献大小，原则上第一、二、三教练各占60%、20%、20%。具体分配可由主教练决定。</w:t>
      </w:r>
    </w:p>
    <w:p w14:paraId="7ED54F94">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3.3以上根据实际课时数由体育部向教务处上报课时。比赛经费、训练课时如需要延长变化等由各参赛队主教练负责预算申报，经体育部及分管校领导审批同意后执行。</w:t>
      </w:r>
    </w:p>
    <w:p w14:paraId="7E19812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3.4绩效统计依据当年《湖南女子学院教学工作业绩核算办法》统计方法汇总。团队指导，第一指导教师占50%，第二、三教练各占10%、10%，部门统筹分配30%，参与该获奖项目已经分配了绩效的教练不再重复分配。</w:t>
      </w:r>
    </w:p>
    <w:p w14:paraId="3EB3934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4教练员考勤</w:t>
      </w:r>
    </w:p>
    <w:p w14:paraId="5AAFBCF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4.1运动队队训练时间和地点要固定，必须在训练计划中明确体现，以便教务、评估处和体育部督查。</w:t>
      </w:r>
    </w:p>
    <w:p w14:paraId="756658A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4.2由体育部对每个队进行考勤，不论因公、因私、因事、因病等请假，教练员必须书面请假，并经体育部主管主任审批后备份。</w:t>
      </w:r>
    </w:p>
    <w:p w14:paraId="3BDB2B7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4.3如未经请假，一学期缺训练三次及以上，教练员将停训三年，并按缺训1课时扣除训练3课时，缺训多课时类推；如果迟到或早退扣除本次训练课时，考勤结果上报体育教学部备案。</w:t>
      </w:r>
    </w:p>
    <w:p w14:paraId="7E86468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4.4暑假训练由体育部不定期考勤，如缺训三次及以上者，该教练员将停训三年，并按缺训课时的三倍扣除训练课时，如果迟到或早退扣除本次训练课时，考勤结果上交体育教学部办公室备案。</w:t>
      </w:r>
    </w:p>
    <w:p w14:paraId="327DCA60">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（二）、校园阳光体育竞赛</w:t>
      </w:r>
    </w:p>
    <w:p w14:paraId="3D381C1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组织阳光体育竞赛是在课外进行，其中，校园课外体育竞赛有每年度的学生阳光跑、篮、排球赛、乒、羽比赛、健身操类比赛、冬季长跑、校运动会、拔河、跳绳及各项女性特色的趣味体育赛事等。部门视为教学课程，纳入教学管理，在学期末教学检查有：有竞赛实施方案、总结、考勤记录等相关材料。</w:t>
      </w:r>
    </w:p>
    <w:p w14:paraId="48D8DE0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方案中有明确的老师工作时间、次数、地点、具体内容，由专职负责老师拟定申请，由部务会根据实际情况讨论决定，相关项目经相关部门和主管校长批准后实施。</w:t>
      </w:r>
    </w:p>
    <w:p w14:paraId="156FF17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1、阳光体育竞赛由竞赛教研室负责，负责学期活动计划方案制定、组织实施与总结以及材料整理归档。</w:t>
      </w:r>
    </w:p>
    <w:p w14:paraId="6275F36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2、体育活动组织实施中，老师需要安排做裁判，以计划方案中人员安排为准，做好工作量认定登记。</w:t>
      </w:r>
    </w:p>
    <w:p w14:paraId="222BDAD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3、体育部负责的全校性阳光体育竞赛，每学期选择2-3个代表性竞赛活动，指导支持各学院、协会自行组织体育赛事等活动。</w:t>
      </w:r>
    </w:p>
    <w:p w14:paraId="50D3751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4、由体育部对每个具体活动内容进行考勤，不论因公、因私、因事、因病等请假，必须书面请假，并经体育部主管主任审批后备份。</w:t>
      </w:r>
    </w:p>
    <w:p w14:paraId="6C31EB8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5、相关体育活动的参与，未经请假，如缺席、迟到或早退，考勤结果上报体育部备案，作为省级赛事是否担任教练、及统筹积分分配的选聘依据。</w:t>
      </w:r>
    </w:p>
    <w:p w14:paraId="26CE495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3AFD953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D200C3A">
      <w:pPr>
        <w:spacing w:line="440" w:lineRule="exact"/>
        <w:ind w:firstLine="5040" w:firstLineChars="1800"/>
        <w:rPr>
          <w:rFonts w:hint="eastAsia" w:asciiTheme="minorEastAsia" w:hAnsiTheme="minorEastAsia"/>
          <w:color w:val="auto"/>
          <w:sz w:val="28"/>
          <w:szCs w:val="28"/>
        </w:rPr>
      </w:pP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stheme="minorEastAsia"/>
          <w:color w:val="auto"/>
          <w:kern w:val="0"/>
          <w:sz w:val="28"/>
          <w:szCs w:val="28"/>
          <w:highlight w:val="none"/>
        </w:rPr>
        <w:t xml:space="preserve"> </w:t>
      </w: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olor w:val="auto"/>
          <w:sz w:val="28"/>
          <w:szCs w:val="28"/>
        </w:rPr>
        <w:t>体育部</w:t>
      </w:r>
    </w:p>
    <w:p w14:paraId="1AD9DB01">
      <w:pPr>
        <w:snapToGrid w:val="0"/>
        <w:spacing w:line="440" w:lineRule="exact"/>
        <w:ind w:firstLine="560" w:firstLineChars="200"/>
        <w:jc w:val="right"/>
        <w:rPr>
          <w:rFonts w:asciiTheme="minorEastAsia" w:hAnsiTheme="minorEastAsia" w:cstheme="minorEastAsia"/>
          <w:color w:val="auto"/>
          <w:sz w:val="28"/>
          <w:szCs w:val="28"/>
          <w:highlight w:val="none"/>
        </w:rPr>
      </w:pP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月</w:t>
      </w:r>
    </w:p>
    <w:p w14:paraId="03E0299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27BEB71C">
      <w:pPr>
        <w:pStyle w:val="3"/>
        <w:keepNext/>
        <w:keepLines/>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imes New Roman" w:hAnsi="Times New Roman"/>
          <w:color w:val="auto"/>
          <w:sz w:val="36"/>
          <w:szCs w:val="36"/>
          <w:lang w:val="en-US" w:eastAsia="zh-CN"/>
        </w:rPr>
      </w:pPr>
      <w:bookmarkStart w:id="13" w:name="_Toc17285"/>
      <w:r>
        <w:rPr>
          <w:rFonts w:hint="eastAsia" w:ascii="Times New Roman" w:hAnsi="Times New Roman" w:eastAsia="黑体" w:cstheme="minorBidi"/>
          <w:b/>
          <w:color w:val="auto"/>
          <w:kern w:val="2"/>
          <w:sz w:val="36"/>
          <w:szCs w:val="36"/>
          <w:lang w:val="en-US" w:eastAsia="zh-CN" w:bidi="ar-SA"/>
        </w:rPr>
        <w:t>湖南女子学院运动队教练员竞聘上岗方案</w:t>
      </w:r>
      <w:bookmarkEnd w:id="13"/>
    </w:p>
    <w:p w14:paraId="0F256DC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为了提高教练员训练水平，锻造一支高素质的教练员队伍，每年一度的省级以上体育赛事，使我校运动水平和比赛成绩能够逐步提升，特制定如下方案：</w:t>
      </w:r>
    </w:p>
    <w:p w14:paraId="07AE616A">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一、成立竞聘考核领导小组</w:t>
      </w:r>
    </w:p>
    <w:p w14:paraId="6D9E73B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组  长：王庆云</w:t>
      </w:r>
    </w:p>
    <w:p w14:paraId="28B9E0B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副组长：李照清</w:t>
      </w:r>
    </w:p>
    <w:p w14:paraId="541BA3C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成  员：肖晖妮、教研室主任、教师代表2人</w:t>
      </w:r>
    </w:p>
    <w:p w14:paraId="5A3C664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外聘专家成员：2名</w:t>
      </w:r>
    </w:p>
    <w:p w14:paraId="3BB711CD">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二、竞聘基本原则</w:t>
      </w:r>
    </w:p>
    <w:p w14:paraId="1713522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（一）德才兼备，以德为先原则</w:t>
      </w:r>
    </w:p>
    <w:p w14:paraId="6EC08D3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（二）注重绩效、群众公认、竞争择优原则</w:t>
      </w:r>
    </w:p>
    <w:p w14:paraId="07FD8BD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（三）公平、公正、公开，接受监督原则</w:t>
      </w:r>
    </w:p>
    <w:p w14:paraId="37F73B1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（四）民主集中原则</w:t>
      </w:r>
    </w:p>
    <w:p w14:paraId="2438670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（五）能上能下原则</w:t>
      </w:r>
    </w:p>
    <w:p w14:paraId="30883DCB">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三、教练员选拔条件</w:t>
      </w:r>
    </w:p>
    <w:p w14:paraId="2EC9F8A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（一）主教练有应聘运动队的教练经历；</w:t>
      </w:r>
    </w:p>
    <w:p w14:paraId="25096024">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（二）有从事该项运动的专项、专业背景。具备较高的专业技术训练能力，掌握本项目发展前沿。</w:t>
      </w:r>
    </w:p>
    <w:p w14:paraId="3A85092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（三）身体健康。</w:t>
      </w:r>
    </w:p>
    <w:p w14:paraId="3DBD8EA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（四）服从安排，遵守纪律。能自觉遵守和执行学校、部门关于运动队的管理规定。</w:t>
      </w:r>
    </w:p>
    <w:p w14:paraId="6D26985C">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四、选任程序</w:t>
      </w:r>
    </w:p>
    <w:p w14:paraId="0EEEC3E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（一）确定并公布竞聘方案</w:t>
      </w:r>
    </w:p>
    <w:p w14:paraId="7E41A34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《湖南女子学院运动队备战大学生运动会教练员竞聘上岗实施方案》经多方征求意见，报学校确定后，在学校公布。</w:t>
      </w:r>
    </w:p>
    <w:p w14:paraId="1E0AAE8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（二）自愿报名</w:t>
      </w:r>
    </w:p>
    <w:p w14:paraId="083959A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根据所设岗位，自愿报名，每人申报主教练1个岗位。</w:t>
      </w:r>
    </w:p>
    <w:p w14:paraId="2514532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（三）竞聘演讲与答辩</w:t>
      </w:r>
    </w:p>
    <w:p w14:paraId="01E0EC7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竞聘者须在竞聘大会上进行竞聘演讲（要求制作ppt），时间不超过6分钟。然后评委提问，竞聘者答辩。</w:t>
      </w:r>
    </w:p>
    <w:p w14:paraId="7B31DB4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（四）民主推荐</w:t>
      </w:r>
    </w:p>
    <w:p w14:paraId="6B73CF7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召开民主推荐大会。参加人员为体育部全体教职工。与会人员根据竞聘者德、能、勤、绩、廉表现民主推荐。</w:t>
      </w:r>
    </w:p>
    <w:p w14:paraId="21548D1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（五）考核小组评议</w:t>
      </w:r>
    </w:p>
    <w:p w14:paraId="06EA01C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考核小组根据民主推荐和竞聘答辩情况，研究并确定各岗位考察对象。</w:t>
      </w:r>
    </w:p>
    <w:p w14:paraId="21E469D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下列情况之一者不得列为考察对象：</w:t>
      </w:r>
    </w:p>
    <w:p w14:paraId="406A857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1．群众认可度不高。民主推荐赞成票低于2/3，且经考核小组确认者；</w:t>
      </w:r>
    </w:p>
    <w:p w14:paraId="0646F78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2．考核小组赞成票未过半数者；</w:t>
      </w:r>
    </w:p>
    <w:p w14:paraId="5035E94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3．近三年年度考核中被确认基本称职及以下等次者。</w:t>
      </w:r>
    </w:p>
    <w:p w14:paraId="3D73EE4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（六）征求意见</w:t>
      </w:r>
    </w:p>
    <w:p w14:paraId="6804742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确定各岗位人选时，听取本人意见；各岗位助理教练人选听取主教练意见。</w:t>
      </w:r>
    </w:p>
    <w:p w14:paraId="509F450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（七）决定聘用</w:t>
      </w:r>
    </w:p>
    <w:p w14:paraId="79DEDE9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经体育部部务会议研究，作出聘用决定，报学校教务处备案。</w:t>
      </w:r>
    </w:p>
    <w:p w14:paraId="1871532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（八）公示</w:t>
      </w:r>
    </w:p>
    <w:p w14:paraId="12B2227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竞聘结果在体育部公示3天，公示结果不影响任职者，下发聘书。</w:t>
      </w:r>
    </w:p>
    <w:p w14:paraId="766D701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五、岗位设置（以下项目均一名主教练）</w:t>
      </w:r>
    </w:p>
    <w:p w14:paraId="7B2BB1F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大运会项目：羽毛球队；田径队；健身健美操队；篮球队；乒乓球队；排球队；足球队；武术队；游泳。</w:t>
      </w:r>
    </w:p>
    <w:p w14:paraId="288D6F7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非大运会项目：舞龙舞狮队；体育舞蹈队；跆拳道队（待定）。</w:t>
      </w:r>
    </w:p>
    <w:p w14:paraId="2730395D">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六、有关事项说明</w:t>
      </w:r>
    </w:p>
    <w:p w14:paraId="05C887F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（一）本次教练员竞聘，一般任期2年。</w:t>
      </w:r>
    </w:p>
    <w:p w14:paraId="3596545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（二）实行回避制度。考核小组中，有参加竞聘者，小组考核时回避。</w:t>
      </w:r>
    </w:p>
    <w:p w14:paraId="672697D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（三）宁缺毋滥。若有项目经考核小组评议后，无合适人选时，体育部外聘教练员，若仍然无合适人选，取消该项目。</w:t>
      </w:r>
    </w:p>
    <w:p w14:paraId="54D7C06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（四）教练员在受聘期间不能完成岗位基本任务（即基本绩效）或在运动训练和竞赛有关工作中有违纪违规现象，经查实，体育部报教务处后，即可对其实施岗位解聘。</w:t>
      </w:r>
    </w:p>
    <w:p w14:paraId="50AB529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（五）经费自筹运动代表队（仅拨注册费、报名费和绩效工作量）同样要求报名申请，并在竞聘会议上作陈述，经民主推荐，报党政联席会确认，下发聘书。</w:t>
      </w:r>
    </w:p>
    <w:p w14:paraId="204B919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6E0B0B8B">
      <w:pPr>
        <w:spacing w:line="440" w:lineRule="exact"/>
        <w:ind w:firstLine="5040" w:firstLineChars="1800"/>
        <w:rPr>
          <w:rFonts w:hint="eastAsia" w:asciiTheme="minorEastAsia" w:hAnsiTheme="minorEastAsia"/>
          <w:color w:val="auto"/>
          <w:sz w:val="28"/>
          <w:szCs w:val="28"/>
        </w:rPr>
      </w:pP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stheme="minorEastAsia"/>
          <w:color w:val="auto"/>
          <w:kern w:val="0"/>
          <w:sz w:val="28"/>
          <w:szCs w:val="28"/>
          <w:highlight w:val="none"/>
        </w:rPr>
        <w:t xml:space="preserve"> </w:t>
      </w: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olor w:val="auto"/>
          <w:sz w:val="28"/>
          <w:szCs w:val="28"/>
        </w:rPr>
        <w:t>体育部</w:t>
      </w:r>
    </w:p>
    <w:p w14:paraId="481CA5E8">
      <w:pPr>
        <w:snapToGrid w:val="0"/>
        <w:spacing w:line="440" w:lineRule="exact"/>
        <w:ind w:firstLine="560" w:firstLineChars="200"/>
        <w:jc w:val="right"/>
        <w:rPr>
          <w:rFonts w:asciiTheme="minorEastAsia" w:hAnsiTheme="minorEastAsia" w:cstheme="minorEastAsia"/>
          <w:color w:val="auto"/>
          <w:sz w:val="28"/>
          <w:szCs w:val="28"/>
          <w:highlight w:val="none"/>
        </w:rPr>
      </w:pP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 xml:space="preserve"> 年 </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月</w:t>
      </w:r>
    </w:p>
    <w:p w14:paraId="62BE966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640AEB2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5D5DC44D">
      <w:pPr>
        <w:pStyle w:val="12"/>
        <w:rPr>
          <w:rFonts w:hint="eastAsia" w:asciiTheme="minorEastAsia" w:hAnsiTheme="minorEastAsia" w:cstheme="minorEastAsia"/>
          <w:color w:val="auto"/>
          <w:kern w:val="0"/>
          <w:sz w:val="28"/>
          <w:szCs w:val="28"/>
          <w:highlight w:val="none"/>
        </w:rPr>
      </w:pPr>
    </w:p>
    <w:p w14:paraId="16F8C644">
      <w:pPr>
        <w:rPr>
          <w:rFonts w:hint="eastAsia" w:asciiTheme="minorEastAsia" w:hAnsiTheme="minorEastAsia" w:cstheme="minorEastAsia"/>
          <w:color w:val="auto"/>
          <w:kern w:val="0"/>
          <w:sz w:val="28"/>
          <w:szCs w:val="28"/>
          <w:highlight w:val="none"/>
        </w:rPr>
      </w:pPr>
    </w:p>
    <w:p w14:paraId="7D54DA49">
      <w:pPr>
        <w:pStyle w:val="12"/>
        <w:rPr>
          <w:rFonts w:hint="eastAsia" w:asciiTheme="minorEastAsia" w:hAnsiTheme="minorEastAsia" w:cstheme="minorEastAsia"/>
          <w:color w:val="auto"/>
          <w:kern w:val="0"/>
          <w:sz w:val="28"/>
          <w:szCs w:val="28"/>
          <w:highlight w:val="none"/>
        </w:rPr>
      </w:pPr>
    </w:p>
    <w:p w14:paraId="4202F192">
      <w:pPr>
        <w:rPr>
          <w:rFonts w:hint="eastAsia" w:asciiTheme="minorEastAsia" w:hAnsiTheme="minorEastAsia" w:cstheme="minorEastAsia"/>
          <w:color w:val="auto"/>
          <w:kern w:val="0"/>
          <w:sz w:val="28"/>
          <w:szCs w:val="28"/>
          <w:highlight w:val="none"/>
        </w:rPr>
      </w:pPr>
    </w:p>
    <w:p w14:paraId="6E65C6ED">
      <w:pPr>
        <w:pStyle w:val="12"/>
        <w:rPr>
          <w:rFonts w:hint="eastAsia" w:asciiTheme="minorEastAsia" w:hAnsiTheme="minorEastAsia" w:cstheme="minorEastAsia"/>
          <w:color w:val="auto"/>
          <w:kern w:val="0"/>
          <w:sz w:val="28"/>
          <w:szCs w:val="28"/>
          <w:highlight w:val="none"/>
        </w:rPr>
      </w:pPr>
    </w:p>
    <w:p w14:paraId="4E961B26">
      <w:pPr>
        <w:rPr>
          <w:rFonts w:hint="eastAsia" w:asciiTheme="minorEastAsia" w:hAnsiTheme="minorEastAsia" w:cstheme="minorEastAsia"/>
          <w:color w:val="auto"/>
          <w:kern w:val="0"/>
          <w:sz w:val="28"/>
          <w:szCs w:val="28"/>
          <w:highlight w:val="none"/>
        </w:rPr>
      </w:pPr>
    </w:p>
    <w:p w14:paraId="17EF8E91">
      <w:pPr>
        <w:pStyle w:val="12"/>
        <w:rPr>
          <w:rFonts w:hint="eastAsia" w:asciiTheme="minorEastAsia" w:hAnsiTheme="minorEastAsia" w:cstheme="minorEastAsia"/>
          <w:color w:val="auto"/>
          <w:kern w:val="0"/>
          <w:sz w:val="28"/>
          <w:szCs w:val="28"/>
          <w:highlight w:val="none"/>
        </w:rPr>
      </w:pPr>
    </w:p>
    <w:p w14:paraId="0C5446BD">
      <w:pPr>
        <w:rPr>
          <w:rFonts w:hint="eastAsia" w:asciiTheme="minorEastAsia" w:hAnsiTheme="minorEastAsia" w:cstheme="minorEastAsia"/>
          <w:color w:val="auto"/>
          <w:kern w:val="0"/>
          <w:sz w:val="28"/>
          <w:szCs w:val="28"/>
          <w:highlight w:val="none"/>
        </w:rPr>
      </w:pPr>
    </w:p>
    <w:p w14:paraId="4318F7EC">
      <w:pPr>
        <w:pStyle w:val="12"/>
        <w:rPr>
          <w:rFonts w:hint="eastAsia" w:asciiTheme="minorEastAsia" w:hAnsiTheme="minorEastAsia" w:cstheme="minorEastAsia"/>
          <w:color w:val="auto"/>
          <w:kern w:val="0"/>
          <w:sz w:val="28"/>
          <w:szCs w:val="28"/>
          <w:highlight w:val="none"/>
        </w:rPr>
      </w:pPr>
    </w:p>
    <w:p w14:paraId="0AE449F0">
      <w:pPr>
        <w:rPr>
          <w:rFonts w:hint="eastAsia" w:asciiTheme="minorEastAsia" w:hAnsiTheme="minorEastAsia" w:cstheme="minorEastAsia"/>
          <w:color w:val="auto"/>
          <w:kern w:val="0"/>
          <w:sz w:val="28"/>
          <w:szCs w:val="28"/>
          <w:highlight w:val="none"/>
        </w:rPr>
      </w:pPr>
    </w:p>
    <w:p w14:paraId="5904F15C">
      <w:pPr>
        <w:pStyle w:val="12"/>
        <w:rPr>
          <w:rFonts w:hint="eastAsia" w:asciiTheme="minorEastAsia" w:hAnsiTheme="minorEastAsia" w:cstheme="minorEastAsia"/>
          <w:color w:val="auto"/>
          <w:kern w:val="0"/>
          <w:sz w:val="28"/>
          <w:szCs w:val="28"/>
          <w:highlight w:val="none"/>
        </w:rPr>
      </w:pPr>
    </w:p>
    <w:p w14:paraId="4AFC0B0C">
      <w:pPr>
        <w:rPr>
          <w:rFonts w:hint="eastAsia" w:asciiTheme="minorEastAsia" w:hAnsiTheme="minorEastAsia" w:cstheme="minorEastAsia"/>
          <w:color w:val="auto"/>
          <w:kern w:val="0"/>
          <w:sz w:val="28"/>
          <w:szCs w:val="28"/>
          <w:highlight w:val="none"/>
        </w:rPr>
      </w:pPr>
    </w:p>
    <w:p w14:paraId="3671FC40">
      <w:pPr>
        <w:rPr>
          <w:rFonts w:hint="eastAsia" w:asciiTheme="minorEastAsia" w:hAnsiTheme="minorEastAsia" w:cstheme="minorEastAsia"/>
          <w:color w:val="auto"/>
          <w:kern w:val="0"/>
          <w:sz w:val="28"/>
          <w:szCs w:val="28"/>
          <w:highlight w:val="none"/>
        </w:rPr>
      </w:pPr>
    </w:p>
    <w:tbl>
      <w:tblPr>
        <w:tblStyle w:val="14"/>
        <w:tblW w:w="9703" w:type="dxa"/>
        <w:jc w:val="center"/>
        <w:tblLayout w:type="fixed"/>
        <w:tblCellMar>
          <w:top w:w="0" w:type="dxa"/>
          <w:left w:w="108" w:type="dxa"/>
          <w:bottom w:w="0" w:type="dxa"/>
          <w:right w:w="108" w:type="dxa"/>
        </w:tblCellMar>
      </w:tblPr>
      <w:tblGrid>
        <w:gridCol w:w="1635"/>
        <w:gridCol w:w="1094"/>
        <w:gridCol w:w="722"/>
        <w:gridCol w:w="718"/>
        <w:gridCol w:w="370"/>
        <w:gridCol w:w="680"/>
        <w:gridCol w:w="25"/>
        <w:gridCol w:w="1112"/>
        <w:gridCol w:w="773"/>
        <w:gridCol w:w="7"/>
        <w:gridCol w:w="1053"/>
        <w:gridCol w:w="1514"/>
      </w:tblGrid>
      <w:tr w14:paraId="533668EF">
        <w:tblPrEx>
          <w:tblCellMar>
            <w:top w:w="0" w:type="dxa"/>
            <w:left w:w="108" w:type="dxa"/>
            <w:bottom w:w="0" w:type="dxa"/>
            <w:right w:w="108" w:type="dxa"/>
          </w:tblCellMar>
        </w:tblPrEx>
        <w:trPr>
          <w:trHeight w:val="505" w:hRule="atLeast"/>
          <w:jc w:val="center"/>
        </w:trPr>
        <w:tc>
          <w:tcPr>
            <w:tcW w:w="9703" w:type="dxa"/>
            <w:gridSpan w:val="12"/>
            <w:tcBorders>
              <w:top w:val="nil"/>
              <w:left w:val="nil"/>
              <w:bottom w:val="single" w:color="auto" w:sz="4" w:space="0"/>
              <w:right w:val="nil"/>
            </w:tcBorders>
          </w:tcPr>
          <w:p w14:paraId="653D869E">
            <w:pPr>
              <w:widowControl/>
              <w:jc w:val="center"/>
              <w:rPr>
                <w:rFonts w:ascii="宋体" w:cs="宋体"/>
                <w:b/>
                <w:kern w:val="0"/>
                <w:sz w:val="36"/>
                <w:szCs w:val="36"/>
              </w:rPr>
            </w:pPr>
            <w:r>
              <w:rPr>
                <w:rFonts w:hint="eastAsia" w:ascii="宋体" w:hAnsi="宋体" w:cs="宋体"/>
                <w:b/>
                <w:kern w:val="0"/>
                <w:sz w:val="36"/>
                <w:szCs w:val="36"/>
              </w:rPr>
              <w:t>体育</w:t>
            </w:r>
            <w:r>
              <w:rPr>
                <w:rFonts w:hint="eastAsia" w:ascii="宋体" w:hAnsi="宋体" w:cs="宋体"/>
                <w:b/>
                <w:kern w:val="0"/>
                <w:sz w:val="36"/>
                <w:szCs w:val="36"/>
                <w:lang w:val="en-US" w:eastAsia="zh-CN"/>
              </w:rPr>
              <w:t>部</w:t>
            </w:r>
            <w:r>
              <w:rPr>
                <w:rFonts w:hint="eastAsia" w:ascii="宋体" w:hAnsi="宋体" w:cs="宋体"/>
                <w:b/>
                <w:kern w:val="0"/>
                <w:sz w:val="36"/>
                <w:szCs w:val="36"/>
              </w:rPr>
              <w:t>运动队教练员报名表</w:t>
            </w:r>
          </w:p>
        </w:tc>
      </w:tr>
      <w:tr w14:paraId="33A20FCA">
        <w:tblPrEx>
          <w:tblCellMar>
            <w:top w:w="0" w:type="dxa"/>
            <w:left w:w="108" w:type="dxa"/>
            <w:bottom w:w="0" w:type="dxa"/>
            <w:right w:w="108" w:type="dxa"/>
          </w:tblCellMar>
        </w:tblPrEx>
        <w:trPr>
          <w:trHeight w:val="534" w:hRule="atLeast"/>
          <w:jc w:val="center"/>
        </w:trPr>
        <w:tc>
          <w:tcPr>
            <w:tcW w:w="1635" w:type="dxa"/>
            <w:tcBorders>
              <w:top w:val="nil"/>
              <w:left w:val="single" w:color="auto" w:sz="4" w:space="0"/>
              <w:bottom w:val="nil"/>
              <w:right w:val="single" w:color="auto" w:sz="4" w:space="0"/>
            </w:tcBorders>
            <w:vAlign w:val="center"/>
          </w:tcPr>
          <w:p w14:paraId="6B7A8085">
            <w:pPr>
              <w:widowControl/>
              <w:spacing w:line="240" w:lineRule="exact"/>
              <w:jc w:val="center"/>
              <w:rPr>
                <w:rFonts w:ascii="宋体" w:cs="宋体"/>
                <w:kern w:val="0"/>
                <w:sz w:val="20"/>
                <w:szCs w:val="20"/>
              </w:rPr>
            </w:pPr>
            <w:r>
              <w:rPr>
                <w:rFonts w:hint="eastAsia" w:ascii="宋体" w:hAnsi="宋体" w:cs="宋体"/>
                <w:kern w:val="0"/>
                <w:sz w:val="20"/>
                <w:szCs w:val="20"/>
              </w:rPr>
              <w:t>姓</w:t>
            </w:r>
            <w:r>
              <w:rPr>
                <w:rFonts w:ascii="宋体" w:hAnsi="宋体" w:cs="宋体"/>
                <w:kern w:val="0"/>
                <w:sz w:val="20"/>
                <w:szCs w:val="20"/>
              </w:rPr>
              <w:t xml:space="preserve">  </w:t>
            </w:r>
            <w:r>
              <w:rPr>
                <w:rFonts w:hint="eastAsia" w:ascii="宋体" w:hAnsi="宋体" w:cs="宋体"/>
                <w:kern w:val="0"/>
                <w:sz w:val="20"/>
                <w:szCs w:val="20"/>
              </w:rPr>
              <w:t>名</w:t>
            </w:r>
          </w:p>
        </w:tc>
        <w:tc>
          <w:tcPr>
            <w:tcW w:w="1094" w:type="dxa"/>
            <w:tcBorders>
              <w:top w:val="nil"/>
              <w:left w:val="nil"/>
              <w:bottom w:val="nil"/>
              <w:right w:val="single" w:color="auto" w:sz="4" w:space="0"/>
            </w:tcBorders>
            <w:vAlign w:val="center"/>
          </w:tcPr>
          <w:p w14:paraId="58193C95">
            <w:pPr>
              <w:widowControl/>
              <w:spacing w:line="240" w:lineRule="exact"/>
              <w:rPr>
                <w:rFonts w:ascii="宋体" w:cs="宋体"/>
                <w:kern w:val="0"/>
                <w:sz w:val="20"/>
                <w:szCs w:val="20"/>
              </w:rPr>
            </w:pPr>
          </w:p>
        </w:tc>
        <w:tc>
          <w:tcPr>
            <w:tcW w:w="722" w:type="dxa"/>
            <w:tcBorders>
              <w:top w:val="nil"/>
              <w:left w:val="nil"/>
              <w:bottom w:val="nil"/>
              <w:right w:val="single" w:color="auto" w:sz="4" w:space="0"/>
            </w:tcBorders>
            <w:vAlign w:val="center"/>
          </w:tcPr>
          <w:p w14:paraId="379B6F20">
            <w:pPr>
              <w:widowControl/>
              <w:spacing w:line="240" w:lineRule="exact"/>
              <w:jc w:val="center"/>
              <w:rPr>
                <w:rFonts w:ascii="宋体" w:cs="宋体"/>
                <w:kern w:val="0"/>
                <w:sz w:val="20"/>
                <w:szCs w:val="20"/>
              </w:rPr>
            </w:pPr>
            <w:r>
              <w:rPr>
                <w:rFonts w:hint="eastAsia" w:ascii="宋体" w:hAnsi="宋体" w:cs="宋体"/>
                <w:kern w:val="0"/>
                <w:sz w:val="20"/>
                <w:szCs w:val="20"/>
              </w:rPr>
              <w:t>性别</w:t>
            </w:r>
          </w:p>
        </w:tc>
        <w:tc>
          <w:tcPr>
            <w:tcW w:w="1088" w:type="dxa"/>
            <w:gridSpan w:val="2"/>
            <w:tcBorders>
              <w:top w:val="nil"/>
              <w:left w:val="nil"/>
              <w:bottom w:val="nil"/>
              <w:right w:val="single" w:color="auto" w:sz="4" w:space="0"/>
            </w:tcBorders>
            <w:vAlign w:val="center"/>
          </w:tcPr>
          <w:p w14:paraId="0D2BE132">
            <w:pPr>
              <w:widowControl/>
              <w:spacing w:line="240" w:lineRule="exact"/>
              <w:jc w:val="center"/>
              <w:rPr>
                <w:rFonts w:ascii="宋体" w:cs="宋体"/>
                <w:kern w:val="0"/>
                <w:sz w:val="20"/>
                <w:szCs w:val="20"/>
              </w:rPr>
            </w:pPr>
          </w:p>
        </w:tc>
        <w:tc>
          <w:tcPr>
            <w:tcW w:w="705" w:type="dxa"/>
            <w:gridSpan w:val="2"/>
            <w:tcBorders>
              <w:top w:val="nil"/>
              <w:left w:val="nil"/>
              <w:bottom w:val="nil"/>
              <w:right w:val="single" w:color="auto" w:sz="4" w:space="0"/>
            </w:tcBorders>
            <w:vAlign w:val="center"/>
          </w:tcPr>
          <w:p w14:paraId="00B033B3">
            <w:pPr>
              <w:widowControl/>
              <w:spacing w:line="240" w:lineRule="exact"/>
              <w:jc w:val="center"/>
              <w:rPr>
                <w:rFonts w:ascii="宋体" w:cs="宋体"/>
                <w:kern w:val="0"/>
                <w:sz w:val="20"/>
                <w:szCs w:val="20"/>
              </w:rPr>
            </w:pPr>
            <w:r>
              <w:rPr>
                <w:rFonts w:hint="eastAsia" w:ascii="宋体" w:hAnsi="宋体" w:cs="宋体"/>
                <w:kern w:val="0"/>
                <w:sz w:val="20"/>
                <w:szCs w:val="20"/>
              </w:rPr>
              <w:t>民族</w:t>
            </w:r>
          </w:p>
        </w:tc>
        <w:tc>
          <w:tcPr>
            <w:tcW w:w="1112" w:type="dxa"/>
            <w:tcBorders>
              <w:top w:val="nil"/>
              <w:left w:val="nil"/>
              <w:bottom w:val="nil"/>
              <w:right w:val="single" w:color="auto" w:sz="4" w:space="0"/>
            </w:tcBorders>
            <w:vAlign w:val="center"/>
          </w:tcPr>
          <w:p w14:paraId="0F82EA79">
            <w:pPr>
              <w:widowControl/>
              <w:spacing w:line="240" w:lineRule="exact"/>
              <w:jc w:val="center"/>
              <w:rPr>
                <w:rFonts w:ascii="宋体" w:cs="宋体"/>
                <w:kern w:val="0"/>
                <w:sz w:val="20"/>
                <w:szCs w:val="20"/>
              </w:rPr>
            </w:pPr>
          </w:p>
        </w:tc>
        <w:tc>
          <w:tcPr>
            <w:tcW w:w="773" w:type="dxa"/>
            <w:tcBorders>
              <w:top w:val="nil"/>
              <w:left w:val="nil"/>
              <w:bottom w:val="nil"/>
              <w:right w:val="single" w:color="auto" w:sz="4" w:space="0"/>
            </w:tcBorders>
            <w:vAlign w:val="center"/>
          </w:tcPr>
          <w:p w14:paraId="1A5F0744">
            <w:pPr>
              <w:widowControl/>
              <w:spacing w:line="240" w:lineRule="exact"/>
              <w:jc w:val="center"/>
              <w:rPr>
                <w:rFonts w:ascii="宋体" w:cs="宋体"/>
                <w:kern w:val="0"/>
                <w:sz w:val="20"/>
                <w:szCs w:val="20"/>
              </w:rPr>
            </w:pPr>
            <w:r>
              <w:rPr>
                <w:rFonts w:hint="eastAsia" w:ascii="宋体" w:hAnsi="宋体" w:cs="宋体"/>
                <w:kern w:val="0"/>
                <w:sz w:val="20"/>
                <w:szCs w:val="20"/>
              </w:rPr>
              <w:t>出生</w:t>
            </w:r>
            <w:r>
              <w:rPr>
                <w:rFonts w:ascii="宋体" w:cs="宋体"/>
                <w:kern w:val="0"/>
                <w:sz w:val="20"/>
                <w:szCs w:val="20"/>
              </w:rPr>
              <w:br w:type="textWrapping"/>
            </w:r>
            <w:r>
              <w:rPr>
                <w:rFonts w:hint="eastAsia" w:ascii="宋体" w:hAnsi="宋体" w:cs="宋体"/>
                <w:kern w:val="0"/>
                <w:sz w:val="20"/>
                <w:szCs w:val="20"/>
              </w:rPr>
              <w:t>年月</w:t>
            </w:r>
          </w:p>
        </w:tc>
        <w:tc>
          <w:tcPr>
            <w:tcW w:w="1060" w:type="dxa"/>
            <w:gridSpan w:val="2"/>
            <w:tcBorders>
              <w:top w:val="nil"/>
              <w:left w:val="nil"/>
              <w:bottom w:val="nil"/>
              <w:right w:val="single" w:color="auto" w:sz="4" w:space="0"/>
            </w:tcBorders>
            <w:vAlign w:val="center"/>
          </w:tcPr>
          <w:p w14:paraId="2BF4705B">
            <w:pPr>
              <w:widowControl/>
              <w:spacing w:line="240" w:lineRule="exact"/>
              <w:jc w:val="center"/>
              <w:rPr>
                <w:rFonts w:ascii="宋体" w:cs="宋体"/>
                <w:kern w:val="0"/>
                <w:sz w:val="20"/>
                <w:szCs w:val="20"/>
              </w:rPr>
            </w:pPr>
          </w:p>
        </w:tc>
        <w:tc>
          <w:tcPr>
            <w:tcW w:w="1514" w:type="dxa"/>
            <w:vMerge w:val="restart"/>
            <w:tcBorders>
              <w:top w:val="single" w:color="auto" w:sz="4" w:space="0"/>
              <w:left w:val="single" w:color="auto" w:sz="4" w:space="0"/>
              <w:bottom w:val="single" w:color="auto" w:sz="4" w:space="0"/>
              <w:right w:val="single" w:color="000000" w:sz="4" w:space="0"/>
            </w:tcBorders>
            <w:vAlign w:val="center"/>
          </w:tcPr>
          <w:p w14:paraId="1458231A">
            <w:pPr>
              <w:widowControl/>
              <w:spacing w:line="240" w:lineRule="exact"/>
              <w:jc w:val="center"/>
              <w:rPr>
                <w:rFonts w:ascii="宋体" w:cs="宋体"/>
                <w:kern w:val="0"/>
                <w:sz w:val="20"/>
                <w:szCs w:val="20"/>
              </w:rPr>
            </w:pPr>
            <w:r>
              <w:rPr>
                <w:rFonts w:hint="eastAsia" w:ascii="宋体" w:hAnsi="宋体" w:cs="宋体"/>
                <w:kern w:val="0"/>
                <w:sz w:val="20"/>
                <w:szCs w:val="20"/>
              </w:rPr>
              <w:t>照片</w:t>
            </w:r>
          </w:p>
        </w:tc>
      </w:tr>
      <w:tr w14:paraId="1320435B">
        <w:tblPrEx>
          <w:tblCellMar>
            <w:top w:w="0" w:type="dxa"/>
            <w:left w:w="108" w:type="dxa"/>
            <w:bottom w:w="0" w:type="dxa"/>
            <w:right w:w="108" w:type="dxa"/>
          </w:tblCellMar>
        </w:tblPrEx>
        <w:trPr>
          <w:trHeight w:val="534" w:hRule="atLeast"/>
          <w:jc w:val="center"/>
        </w:trPr>
        <w:tc>
          <w:tcPr>
            <w:tcW w:w="1635" w:type="dxa"/>
            <w:tcBorders>
              <w:top w:val="single" w:color="auto" w:sz="4" w:space="0"/>
              <w:left w:val="single" w:color="auto" w:sz="4" w:space="0"/>
              <w:bottom w:val="nil"/>
              <w:right w:val="single" w:color="auto" w:sz="4" w:space="0"/>
            </w:tcBorders>
            <w:vAlign w:val="center"/>
          </w:tcPr>
          <w:p w14:paraId="17E0C761">
            <w:pPr>
              <w:widowControl/>
              <w:spacing w:line="240" w:lineRule="exact"/>
              <w:jc w:val="center"/>
              <w:rPr>
                <w:rFonts w:ascii="宋体" w:cs="宋体"/>
                <w:kern w:val="0"/>
                <w:sz w:val="20"/>
                <w:szCs w:val="20"/>
              </w:rPr>
            </w:pPr>
            <w:r>
              <w:rPr>
                <w:rFonts w:hint="eastAsia" w:ascii="宋体" w:hAnsi="宋体" w:cs="宋体"/>
                <w:kern w:val="0"/>
                <w:sz w:val="20"/>
                <w:szCs w:val="20"/>
              </w:rPr>
              <w:t>籍</w:t>
            </w:r>
            <w:r>
              <w:rPr>
                <w:rFonts w:ascii="宋体" w:hAnsi="宋体" w:cs="宋体"/>
                <w:kern w:val="0"/>
                <w:sz w:val="20"/>
                <w:szCs w:val="20"/>
              </w:rPr>
              <w:t xml:space="preserve">  </w:t>
            </w:r>
            <w:r>
              <w:rPr>
                <w:rFonts w:hint="eastAsia" w:ascii="宋体" w:hAnsi="宋体" w:cs="宋体"/>
                <w:kern w:val="0"/>
                <w:sz w:val="20"/>
                <w:szCs w:val="20"/>
              </w:rPr>
              <w:t>贯</w:t>
            </w:r>
          </w:p>
        </w:tc>
        <w:tc>
          <w:tcPr>
            <w:tcW w:w="1094" w:type="dxa"/>
            <w:tcBorders>
              <w:top w:val="single" w:color="auto" w:sz="4" w:space="0"/>
              <w:left w:val="nil"/>
              <w:bottom w:val="nil"/>
              <w:right w:val="single" w:color="auto" w:sz="4" w:space="0"/>
            </w:tcBorders>
            <w:vAlign w:val="center"/>
          </w:tcPr>
          <w:p w14:paraId="7514DD39">
            <w:pPr>
              <w:widowControl/>
              <w:spacing w:line="240" w:lineRule="exact"/>
              <w:rPr>
                <w:rFonts w:ascii="宋体" w:cs="宋体"/>
                <w:kern w:val="0"/>
                <w:sz w:val="20"/>
                <w:szCs w:val="20"/>
              </w:rPr>
            </w:pPr>
          </w:p>
        </w:tc>
        <w:tc>
          <w:tcPr>
            <w:tcW w:w="722" w:type="dxa"/>
            <w:tcBorders>
              <w:top w:val="single" w:color="auto" w:sz="4" w:space="0"/>
              <w:left w:val="nil"/>
              <w:bottom w:val="nil"/>
              <w:right w:val="single" w:color="auto" w:sz="4" w:space="0"/>
            </w:tcBorders>
            <w:vAlign w:val="center"/>
          </w:tcPr>
          <w:p w14:paraId="50D26C24">
            <w:pPr>
              <w:widowControl/>
              <w:spacing w:line="240" w:lineRule="exact"/>
              <w:jc w:val="center"/>
              <w:rPr>
                <w:rFonts w:ascii="宋体" w:cs="宋体"/>
                <w:kern w:val="0"/>
                <w:sz w:val="20"/>
                <w:szCs w:val="20"/>
              </w:rPr>
            </w:pPr>
            <w:r>
              <w:rPr>
                <w:rFonts w:hint="eastAsia" w:ascii="宋体" w:hAnsi="宋体" w:cs="宋体"/>
                <w:kern w:val="0"/>
                <w:sz w:val="20"/>
                <w:szCs w:val="20"/>
              </w:rPr>
              <w:t>学历</w:t>
            </w:r>
          </w:p>
        </w:tc>
        <w:tc>
          <w:tcPr>
            <w:tcW w:w="1088" w:type="dxa"/>
            <w:gridSpan w:val="2"/>
            <w:tcBorders>
              <w:top w:val="single" w:color="auto" w:sz="4" w:space="0"/>
              <w:left w:val="nil"/>
              <w:bottom w:val="nil"/>
              <w:right w:val="single" w:color="auto" w:sz="4" w:space="0"/>
            </w:tcBorders>
            <w:vAlign w:val="center"/>
          </w:tcPr>
          <w:p w14:paraId="745080D7">
            <w:pPr>
              <w:widowControl/>
              <w:spacing w:line="240" w:lineRule="exact"/>
              <w:jc w:val="center"/>
              <w:rPr>
                <w:rFonts w:ascii="宋体" w:cs="宋体"/>
                <w:kern w:val="0"/>
                <w:sz w:val="20"/>
                <w:szCs w:val="20"/>
              </w:rPr>
            </w:pPr>
          </w:p>
        </w:tc>
        <w:tc>
          <w:tcPr>
            <w:tcW w:w="705" w:type="dxa"/>
            <w:gridSpan w:val="2"/>
            <w:tcBorders>
              <w:top w:val="single" w:color="auto" w:sz="4" w:space="0"/>
              <w:left w:val="nil"/>
              <w:bottom w:val="nil"/>
              <w:right w:val="single" w:color="auto" w:sz="4" w:space="0"/>
            </w:tcBorders>
            <w:vAlign w:val="center"/>
          </w:tcPr>
          <w:p w14:paraId="45FFAEE1">
            <w:pPr>
              <w:widowControl/>
              <w:spacing w:line="240" w:lineRule="exact"/>
              <w:jc w:val="center"/>
              <w:rPr>
                <w:rFonts w:ascii="宋体" w:cs="宋体"/>
                <w:kern w:val="0"/>
                <w:sz w:val="20"/>
                <w:szCs w:val="20"/>
              </w:rPr>
            </w:pPr>
            <w:r>
              <w:rPr>
                <w:rFonts w:hint="eastAsia" w:ascii="宋体" w:hAnsi="宋体" w:cs="宋体"/>
                <w:kern w:val="0"/>
                <w:sz w:val="20"/>
                <w:szCs w:val="20"/>
              </w:rPr>
              <w:t>政治</w:t>
            </w:r>
            <w:r>
              <w:rPr>
                <w:rFonts w:ascii="宋体" w:cs="宋体"/>
                <w:kern w:val="0"/>
                <w:sz w:val="20"/>
                <w:szCs w:val="20"/>
              </w:rPr>
              <w:br w:type="textWrapping"/>
            </w:r>
            <w:r>
              <w:rPr>
                <w:rFonts w:hint="eastAsia" w:ascii="宋体" w:hAnsi="宋体" w:cs="宋体"/>
                <w:kern w:val="0"/>
                <w:sz w:val="20"/>
                <w:szCs w:val="20"/>
              </w:rPr>
              <w:t>面貌</w:t>
            </w:r>
          </w:p>
        </w:tc>
        <w:tc>
          <w:tcPr>
            <w:tcW w:w="1112" w:type="dxa"/>
            <w:tcBorders>
              <w:top w:val="single" w:color="auto" w:sz="4" w:space="0"/>
              <w:left w:val="nil"/>
              <w:bottom w:val="nil"/>
              <w:right w:val="single" w:color="auto" w:sz="4" w:space="0"/>
            </w:tcBorders>
            <w:vAlign w:val="center"/>
          </w:tcPr>
          <w:p w14:paraId="28B6A626">
            <w:pPr>
              <w:widowControl/>
              <w:spacing w:line="240" w:lineRule="exact"/>
              <w:jc w:val="center"/>
              <w:rPr>
                <w:rFonts w:ascii="宋体" w:cs="宋体"/>
                <w:kern w:val="0"/>
                <w:sz w:val="20"/>
                <w:szCs w:val="20"/>
              </w:rPr>
            </w:pPr>
          </w:p>
        </w:tc>
        <w:tc>
          <w:tcPr>
            <w:tcW w:w="780" w:type="dxa"/>
            <w:gridSpan w:val="2"/>
            <w:tcBorders>
              <w:top w:val="single" w:color="auto" w:sz="4" w:space="0"/>
              <w:left w:val="nil"/>
              <w:bottom w:val="nil"/>
              <w:right w:val="single" w:color="auto" w:sz="4" w:space="0"/>
            </w:tcBorders>
            <w:vAlign w:val="center"/>
          </w:tcPr>
          <w:p w14:paraId="30359790">
            <w:pPr>
              <w:widowControl/>
              <w:spacing w:line="240" w:lineRule="exact"/>
              <w:jc w:val="center"/>
              <w:rPr>
                <w:rFonts w:ascii="宋体" w:cs="宋体"/>
                <w:kern w:val="0"/>
                <w:sz w:val="20"/>
                <w:szCs w:val="20"/>
              </w:rPr>
            </w:pPr>
            <w:r>
              <w:rPr>
                <w:rFonts w:hint="eastAsia" w:ascii="宋体" w:hAnsi="宋体"/>
                <w:sz w:val="20"/>
                <w:szCs w:val="20"/>
              </w:rPr>
              <w:t>运动专项</w:t>
            </w:r>
          </w:p>
        </w:tc>
        <w:tc>
          <w:tcPr>
            <w:tcW w:w="1053" w:type="dxa"/>
            <w:tcBorders>
              <w:top w:val="single" w:color="auto" w:sz="4" w:space="0"/>
              <w:left w:val="nil"/>
              <w:bottom w:val="nil"/>
              <w:right w:val="single" w:color="auto" w:sz="4" w:space="0"/>
            </w:tcBorders>
            <w:vAlign w:val="center"/>
          </w:tcPr>
          <w:p w14:paraId="50AC5B94">
            <w:pPr>
              <w:widowControl/>
              <w:spacing w:line="240" w:lineRule="exact"/>
              <w:jc w:val="center"/>
              <w:rPr>
                <w:rFonts w:ascii="宋体" w:cs="宋体"/>
                <w:kern w:val="0"/>
                <w:sz w:val="20"/>
                <w:szCs w:val="20"/>
              </w:rPr>
            </w:pPr>
          </w:p>
        </w:tc>
        <w:tc>
          <w:tcPr>
            <w:tcW w:w="1514" w:type="dxa"/>
            <w:vMerge w:val="continue"/>
            <w:tcBorders>
              <w:top w:val="single" w:color="auto" w:sz="4" w:space="0"/>
              <w:left w:val="single" w:color="auto" w:sz="4" w:space="0"/>
              <w:bottom w:val="single" w:color="auto" w:sz="4" w:space="0"/>
              <w:right w:val="single" w:color="000000" w:sz="4" w:space="0"/>
            </w:tcBorders>
            <w:vAlign w:val="center"/>
          </w:tcPr>
          <w:p w14:paraId="7EFB266E">
            <w:pPr>
              <w:widowControl/>
              <w:jc w:val="left"/>
              <w:rPr>
                <w:rFonts w:ascii="宋体" w:cs="宋体"/>
                <w:kern w:val="0"/>
                <w:sz w:val="20"/>
                <w:szCs w:val="20"/>
              </w:rPr>
            </w:pPr>
          </w:p>
        </w:tc>
      </w:tr>
      <w:tr w14:paraId="2DD8990F">
        <w:tblPrEx>
          <w:tblCellMar>
            <w:top w:w="0" w:type="dxa"/>
            <w:left w:w="108" w:type="dxa"/>
            <w:bottom w:w="0" w:type="dxa"/>
            <w:right w:w="108" w:type="dxa"/>
          </w:tblCellMar>
        </w:tblPrEx>
        <w:trPr>
          <w:trHeight w:val="1088" w:hRule="atLeast"/>
          <w:jc w:val="center"/>
        </w:trPr>
        <w:tc>
          <w:tcPr>
            <w:tcW w:w="1635" w:type="dxa"/>
            <w:tcBorders>
              <w:top w:val="single" w:color="auto" w:sz="4" w:space="0"/>
              <w:left w:val="single" w:color="auto" w:sz="4" w:space="0"/>
              <w:bottom w:val="single" w:color="auto" w:sz="4" w:space="0"/>
              <w:right w:val="single" w:color="auto" w:sz="4" w:space="0"/>
            </w:tcBorders>
            <w:vAlign w:val="center"/>
          </w:tcPr>
          <w:p w14:paraId="5D3B1C63">
            <w:pPr>
              <w:widowControl/>
              <w:spacing w:line="240" w:lineRule="exact"/>
              <w:jc w:val="center"/>
              <w:rPr>
                <w:rFonts w:ascii="宋体" w:cs="宋体"/>
                <w:kern w:val="0"/>
                <w:sz w:val="20"/>
                <w:szCs w:val="20"/>
              </w:rPr>
            </w:pPr>
            <w:r>
              <w:rPr>
                <w:rFonts w:hint="eastAsia" w:ascii="宋体" w:hAnsi="宋体" w:cs="宋体"/>
                <w:kern w:val="0"/>
                <w:sz w:val="20"/>
                <w:szCs w:val="20"/>
              </w:rPr>
              <w:t>毕业院校</w:t>
            </w:r>
            <w:r>
              <w:rPr>
                <w:rFonts w:ascii="宋体" w:cs="宋体"/>
                <w:kern w:val="0"/>
                <w:sz w:val="20"/>
                <w:szCs w:val="20"/>
              </w:rPr>
              <w:br w:type="textWrapping"/>
            </w:r>
            <w:r>
              <w:rPr>
                <w:rFonts w:hint="eastAsia" w:ascii="宋体" w:hAnsi="宋体" w:cs="宋体"/>
                <w:kern w:val="0"/>
                <w:sz w:val="20"/>
                <w:szCs w:val="20"/>
              </w:rPr>
              <w:t>及专业</w:t>
            </w:r>
          </w:p>
        </w:tc>
        <w:tc>
          <w:tcPr>
            <w:tcW w:w="4721" w:type="dxa"/>
            <w:gridSpan w:val="7"/>
            <w:tcBorders>
              <w:top w:val="single" w:color="auto" w:sz="4" w:space="0"/>
              <w:left w:val="nil"/>
              <w:bottom w:val="single" w:color="auto" w:sz="4" w:space="0"/>
              <w:right w:val="single" w:color="auto" w:sz="4" w:space="0"/>
            </w:tcBorders>
            <w:vAlign w:val="center"/>
          </w:tcPr>
          <w:p w14:paraId="7C7BFCC0">
            <w:pPr>
              <w:widowControl/>
              <w:spacing w:line="240" w:lineRule="exact"/>
              <w:jc w:val="center"/>
              <w:rPr>
                <w:rFonts w:ascii="宋体" w:cs="宋体"/>
                <w:kern w:val="0"/>
                <w:sz w:val="20"/>
                <w:szCs w:val="20"/>
              </w:rPr>
            </w:pPr>
          </w:p>
        </w:tc>
        <w:tc>
          <w:tcPr>
            <w:tcW w:w="773" w:type="dxa"/>
            <w:tcBorders>
              <w:top w:val="single" w:color="auto" w:sz="4" w:space="0"/>
              <w:left w:val="nil"/>
              <w:bottom w:val="single" w:color="auto" w:sz="4" w:space="0"/>
              <w:right w:val="single" w:color="auto" w:sz="4" w:space="0"/>
            </w:tcBorders>
            <w:vAlign w:val="center"/>
          </w:tcPr>
          <w:p w14:paraId="5FDEC116">
            <w:pPr>
              <w:widowControl/>
              <w:spacing w:line="240" w:lineRule="exact"/>
              <w:jc w:val="center"/>
              <w:rPr>
                <w:rFonts w:ascii="宋体" w:cs="宋体"/>
                <w:kern w:val="0"/>
                <w:sz w:val="20"/>
                <w:szCs w:val="20"/>
              </w:rPr>
            </w:pPr>
            <w:r>
              <w:rPr>
                <w:rFonts w:hint="eastAsia" w:ascii="宋体" w:hAnsi="宋体" w:cs="宋体"/>
                <w:kern w:val="0"/>
                <w:sz w:val="20"/>
                <w:szCs w:val="20"/>
              </w:rPr>
              <w:t>毕业</w:t>
            </w:r>
            <w:r>
              <w:rPr>
                <w:rFonts w:ascii="宋体" w:cs="宋体"/>
                <w:kern w:val="0"/>
                <w:sz w:val="20"/>
                <w:szCs w:val="20"/>
              </w:rPr>
              <w:br w:type="textWrapping"/>
            </w:r>
            <w:r>
              <w:rPr>
                <w:rFonts w:hint="eastAsia" w:ascii="宋体" w:hAnsi="宋体" w:cs="宋体"/>
                <w:kern w:val="0"/>
                <w:sz w:val="20"/>
                <w:szCs w:val="20"/>
              </w:rPr>
              <w:t>时间</w:t>
            </w:r>
          </w:p>
        </w:tc>
        <w:tc>
          <w:tcPr>
            <w:tcW w:w="1060" w:type="dxa"/>
            <w:gridSpan w:val="2"/>
            <w:tcBorders>
              <w:top w:val="single" w:color="auto" w:sz="4" w:space="0"/>
              <w:left w:val="nil"/>
              <w:bottom w:val="single" w:color="auto" w:sz="4" w:space="0"/>
              <w:right w:val="single" w:color="auto" w:sz="4" w:space="0"/>
            </w:tcBorders>
            <w:vAlign w:val="center"/>
          </w:tcPr>
          <w:p w14:paraId="56A7179E">
            <w:pPr>
              <w:widowControl/>
              <w:spacing w:line="240" w:lineRule="exact"/>
              <w:jc w:val="center"/>
              <w:rPr>
                <w:rFonts w:ascii="宋体" w:cs="宋体"/>
                <w:kern w:val="0"/>
                <w:sz w:val="20"/>
                <w:szCs w:val="20"/>
              </w:rPr>
            </w:pPr>
          </w:p>
        </w:tc>
        <w:tc>
          <w:tcPr>
            <w:tcW w:w="1514" w:type="dxa"/>
            <w:vMerge w:val="continue"/>
            <w:tcBorders>
              <w:top w:val="single" w:color="auto" w:sz="4" w:space="0"/>
              <w:left w:val="single" w:color="auto" w:sz="4" w:space="0"/>
              <w:bottom w:val="single" w:color="auto" w:sz="4" w:space="0"/>
              <w:right w:val="single" w:color="000000" w:sz="4" w:space="0"/>
            </w:tcBorders>
            <w:vAlign w:val="center"/>
          </w:tcPr>
          <w:p w14:paraId="436A4CD1">
            <w:pPr>
              <w:widowControl/>
              <w:jc w:val="left"/>
              <w:rPr>
                <w:rFonts w:ascii="宋体" w:cs="宋体"/>
                <w:kern w:val="0"/>
                <w:sz w:val="20"/>
                <w:szCs w:val="20"/>
              </w:rPr>
            </w:pPr>
          </w:p>
        </w:tc>
      </w:tr>
      <w:tr w14:paraId="123ECBAE">
        <w:tblPrEx>
          <w:tblCellMar>
            <w:top w:w="0" w:type="dxa"/>
            <w:left w:w="108" w:type="dxa"/>
            <w:bottom w:w="0" w:type="dxa"/>
            <w:right w:w="108" w:type="dxa"/>
          </w:tblCellMar>
        </w:tblPrEx>
        <w:trPr>
          <w:trHeight w:val="451" w:hRule="atLeast"/>
          <w:jc w:val="center"/>
        </w:trPr>
        <w:tc>
          <w:tcPr>
            <w:tcW w:w="1635" w:type="dxa"/>
            <w:tcBorders>
              <w:top w:val="nil"/>
              <w:left w:val="single" w:color="auto" w:sz="4" w:space="0"/>
              <w:bottom w:val="single" w:color="auto" w:sz="4" w:space="0"/>
              <w:right w:val="single" w:color="auto" w:sz="4" w:space="0"/>
            </w:tcBorders>
            <w:vAlign w:val="center"/>
          </w:tcPr>
          <w:p w14:paraId="76E8B6DE">
            <w:pPr>
              <w:widowControl/>
              <w:spacing w:line="240" w:lineRule="exact"/>
              <w:jc w:val="center"/>
              <w:rPr>
                <w:rFonts w:ascii="宋体" w:cs="宋体"/>
                <w:kern w:val="0"/>
                <w:sz w:val="20"/>
                <w:szCs w:val="20"/>
              </w:rPr>
            </w:pPr>
            <w:r>
              <w:rPr>
                <w:rFonts w:hint="eastAsia" w:ascii="宋体" w:hAnsi="宋体" w:cs="宋体"/>
                <w:kern w:val="0"/>
                <w:sz w:val="20"/>
                <w:szCs w:val="20"/>
              </w:rPr>
              <w:t>申报岗位</w:t>
            </w:r>
          </w:p>
        </w:tc>
        <w:tc>
          <w:tcPr>
            <w:tcW w:w="8068" w:type="dxa"/>
            <w:gridSpan w:val="11"/>
            <w:tcBorders>
              <w:top w:val="nil"/>
              <w:left w:val="nil"/>
              <w:bottom w:val="single" w:color="auto" w:sz="4" w:space="0"/>
              <w:right w:val="single" w:color="auto" w:sz="4" w:space="0"/>
            </w:tcBorders>
            <w:vAlign w:val="center"/>
          </w:tcPr>
          <w:p w14:paraId="283E7387">
            <w:pPr>
              <w:widowControl/>
              <w:spacing w:line="240" w:lineRule="exact"/>
              <w:jc w:val="center"/>
              <w:rPr>
                <w:rFonts w:ascii="宋体" w:cs="宋体"/>
                <w:kern w:val="0"/>
                <w:sz w:val="20"/>
                <w:szCs w:val="20"/>
              </w:rPr>
            </w:pPr>
            <w:r>
              <w:rPr>
                <w:rFonts w:ascii="宋体" w:hAnsi="宋体" w:cs="宋体"/>
                <w:kern w:val="0"/>
                <w:sz w:val="20"/>
                <w:szCs w:val="20"/>
              </w:rPr>
              <w:t xml:space="preserve">      </w:t>
            </w:r>
          </w:p>
        </w:tc>
      </w:tr>
      <w:tr w14:paraId="1978F1FF">
        <w:tblPrEx>
          <w:tblCellMar>
            <w:top w:w="0" w:type="dxa"/>
            <w:left w:w="108" w:type="dxa"/>
            <w:bottom w:w="0" w:type="dxa"/>
            <w:right w:w="108" w:type="dxa"/>
          </w:tblCellMar>
        </w:tblPrEx>
        <w:trPr>
          <w:trHeight w:val="465" w:hRule="atLeast"/>
          <w:jc w:val="center"/>
        </w:trPr>
        <w:tc>
          <w:tcPr>
            <w:tcW w:w="1635" w:type="dxa"/>
            <w:tcBorders>
              <w:top w:val="single" w:color="auto" w:sz="4" w:space="0"/>
              <w:left w:val="single" w:color="auto" w:sz="4" w:space="0"/>
              <w:bottom w:val="single" w:color="auto" w:sz="4" w:space="0"/>
              <w:right w:val="single" w:color="auto" w:sz="4" w:space="0"/>
            </w:tcBorders>
            <w:vAlign w:val="center"/>
          </w:tcPr>
          <w:p w14:paraId="097C870F">
            <w:pPr>
              <w:widowControl/>
              <w:spacing w:line="240" w:lineRule="exact"/>
              <w:jc w:val="center"/>
              <w:rPr>
                <w:rFonts w:ascii="宋体" w:cs="宋体"/>
                <w:kern w:val="0"/>
                <w:sz w:val="20"/>
                <w:szCs w:val="20"/>
              </w:rPr>
            </w:pPr>
            <w:r>
              <w:rPr>
                <w:rFonts w:hint="eastAsia" w:ascii="宋体" w:hAnsi="宋体" w:cs="宋体"/>
                <w:kern w:val="0"/>
                <w:sz w:val="20"/>
                <w:szCs w:val="20"/>
              </w:rPr>
              <w:t>联系方式</w:t>
            </w:r>
          </w:p>
        </w:tc>
        <w:tc>
          <w:tcPr>
            <w:tcW w:w="8068" w:type="dxa"/>
            <w:gridSpan w:val="11"/>
            <w:tcBorders>
              <w:top w:val="single" w:color="auto" w:sz="4" w:space="0"/>
              <w:left w:val="nil"/>
              <w:right w:val="single" w:color="auto" w:sz="4" w:space="0"/>
            </w:tcBorders>
            <w:vAlign w:val="center"/>
          </w:tcPr>
          <w:p w14:paraId="20DEFEC9">
            <w:pPr>
              <w:spacing w:line="240" w:lineRule="exact"/>
              <w:rPr>
                <w:rFonts w:ascii="宋体" w:cs="宋体"/>
                <w:kern w:val="0"/>
                <w:sz w:val="20"/>
                <w:szCs w:val="20"/>
              </w:rPr>
            </w:pPr>
          </w:p>
        </w:tc>
      </w:tr>
      <w:tr w14:paraId="330C05B2">
        <w:tblPrEx>
          <w:tblCellMar>
            <w:top w:w="0" w:type="dxa"/>
            <w:left w:w="108" w:type="dxa"/>
            <w:bottom w:w="0" w:type="dxa"/>
            <w:right w:w="108" w:type="dxa"/>
          </w:tblCellMar>
        </w:tblPrEx>
        <w:trPr>
          <w:trHeight w:val="2292" w:hRule="atLeast"/>
          <w:jc w:val="center"/>
        </w:trPr>
        <w:tc>
          <w:tcPr>
            <w:tcW w:w="1635" w:type="dxa"/>
            <w:tcBorders>
              <w:top w:val="single" w:color="auto" w:sz="4" w:space="0"/>
              <w:left w:val="single" w:color="auto" w:sz="4" w:space="0"/>
              <w:bottom w:val="single" w:color="auto" w:sz="4" w:space="0"/>
              <w:right w:val="single" w:color="auto" w:sz="4" w:space="0"/>
            </w:tcBorders>
            <w:vAlign w:val="center"/>
          </w:tcPr>
          <w:p w14:paraId="5C4088A0">
            <w:pPr>
              <w:widowControl/>
              <w:spacing w:line="240" w:lineRule="exact"/>
              <w:jc w:val="center"/>
              <w:rPr>
                <w:rFonts w:ascii="宋体" w:cs="宋体"/>
                <w:kern w:val="0"/>
                <w:sz w:val="20"/>
                <w:szCs w:val="20"/>
              </w:rPr>
            </w:pPr>
          </w:p>
          <w:p w14:paraId="31CDA06F">
            <w:pPr>
              <w:widowControl/>
              <w:spacing w:line="240" w:lineRule="exact"/>
              <w:jc w:val="center"/>
              <w:rPr>
                <w:rFonts w:ascii="宋体" w:cs="宋体"/>
                <w:kern w:val="0"/>
                <w:sz w:val="20"/>
                <w:szCs w:val="20"/>
              </w:rPr>
            </w:pPr>
            <w:r>
              <w:rPr>
                <w:rFonts w:hint="eastAsia" w:ascii="宋体" w:hAnsi="宋体" w:cs="宋体"/>
                <w:kern w:val="0"/>
                <w:sz w:val="20"/>
                <w:szCs w:val="20"/>
              </w:rPr>
              <w:t>训</w:t>
            </w:r>
          </w:p>
          <w:p w14:paraId="16BC2900">
            <w:pPr>
              <w:widowControl/>
              <w:spacing w:line="240" w:lineRule="exact"/>
              <w:jc w:val="center"/>
              <w:rPr>
                <w:rFonts w:ascii="宋体" w:cs="宋体"/>
                <w:kern w:val="0"/>
                <w:sz w:val="20"/>
                <w:szCs w:val="20"/>
              </w:rPr>
            </w:pPr>
          </w:p>
          <w:p w14:paraId="3CF4C9A1">
            <w:pPr>
              <w:widowControl/>
              <w:spacing w:line="240" w:lineRule="exact"/>
              <w:jc w:val="center"/>
              <w:rPr>
                <w:rFonts w:ascii="宋体" w:cs="宋体"/>
                <w:kern w:val="0"/>
                <w:sz w:val="20"/>
                <w:szCs w:val="20"/>
              </w:rPr>
            </w:pPr>
            <w:r>
              <w:rPr>
                <w:rFonts w:hint="eastAsia" w:ascii="宋体" w:hAnsi="宋体" w:cs="宋体"/>
                <w:kern w:val="0"/>
                <w:sz w:val="20"/>
                <w:szCs w:val="20"/>
              </w:rPr>
              <w:t>练</w:t>
            </w:r>
          </w:p>
          <w:p w14:paraId="041EA0F8">
            <w:pPr>
              <w:widowControl/>
              <w:spacing w:line="240" w:lineRule="exact"/>
              <w:jc w:val="center"/>
              <w:rPr>
                <w:rFonts w:ascii="宋体" w:cs="宋体"/>
                <w:kern w:val="0"/>
                <w:sz w:val="20"/>
                <w:szCs w:val="20"/>
              </w:rPr>
            </w:pPr>
          </w:p>
          <w:p w14:paraId="2B743A34">
            <w:pPr>
              <w:widowControl/>
              <w:spacing w:line="240" w:lineRule="exact"/>
              <w:jc w:val="center"/>
              <w:rPr>
                <w:rFonts w:ascii="宋体" w:cs="宋体"/>
                <w:kern w:val="0"/>
                <w:sz w:val="20"/>
                <w:szCs w:val="20"/>
              </w:rPr>
            </w:pPr>
            <w:r>
              <w:rPr>
                <w:rFonts w:hint="eastAsia" w:ascii="宋体" w:hAnsi="宋体" w:cs="宋体"/>
                <w:kern w:val="0"/>
                <w:sz w:val="20"/>
                <w:szCs w:val="20"/>
              </w:rPr>
              <w:t>简</w:t>
            </w:r>
          </w:p>
          <w:p w14:paraId="3B7AF463">
            <w:pPr>
              <w:widowControl/>
              <w:spacing w:line="240" w:lineRule="exact"/>
              <w:jc w:val="center"/>
              <w:rPr>
                <w:rFonts w:ascii="宋体" w:cs="宋体"/>
                <w:kern w:val="0"/>
                <w:sz w:val="20"/>
                <w:szCs w:val="20"/>
              </w:rPr>
            </w:pPr>
          </w:p>
          <w:p w14:paraId="0946BABB">
            <w:pPr>
              <w:widowControl/>
              <w:spacing w:line="240" w:lineRule="exact"/>
              <w:jc w:val="center"/>
              <w:rPr>
                <w:rFonts w:ascii="宋体" w:cs="宋体"/>
                <w:kern w:val="0"/>
                <w:sz w:val="20"/>
                <w:szCs w:val="20"/>
              </w:rPr>
            </w:pPr>
            <w:r>
              <w:rPr>
                <w:rFonts w:hint="eastAsia" w:ascii="宋体" w:hAnsi="宋体" w:cs="宋体"/>
                <w:kern w:val="0"/>
                <w:sz w:val="20"/>
                <w:szCs w:val="20"/>
              </w:rPr>
              <w:t>历</w:t>
            </w:r>
          </w:p>
        </w:tc>
        <w:tc>
          <w:tcPr>
            <w:tcW w:w="8068" w:type="dxa"/>
            <w:gridSpan w:val="11"/>
            <w:tcBorders>
              <w:top w:val="single" w:color="auto" w:sz="4" w:space="0"/>
              <w:left w:val="nil"/>
              <w:bottom w:val="single" w:color="auto" w:sz="4" w:space="0"/>
              <w:right w:val="single" w:color="auto" w:sz="4" w:space="0"/>
            </w:tcBorders>
            <w:vAlign w:val="center"/>
          </w:tcPr>
          <w:p w14:paraId="01C1E0CD">
            <w:pPr>
              <w:widowControl/>
              <w:spacing w:line="240" w:lineRule="exact"/>
              <w:jc w:val="center"/>
              <w:rPr>
                <w:rFonts w:ascii="宋体" w:cs="宋体"/>
                <w:kern w:val="0"/>
                <w:sz w:val="20"/>
                <w:szCs w:val="20"/>
              </w:rPr>
            </w:pPr>
          </w:p>
        </w:tc>
      </w:tr>
      <w:tr w14:paraId="31BE5712">
        <w:tblPrEx>
          <w:tblCellMar>
            <w:top w:w="0" w:type="dxa"/>
            <w:left w:w="108" w:type="dxa"/>
            <w:bottom w:w="0" w:type="dxa"/>
            <w:right w:w="108" w:type="dxa"/>
          </w:tblCellMar>
        </w:tblPrEx>
        <w:trPr>
          <w:trHeight w:val="2815" w:hRule="atLeast"/>
          <w:jc w:val="center"/>
        </w:trPr>
        <w:tc>
          <w:tcPr>
            <w:tcW w:w="1635" w:type="dxa"/>
            <w:tcBorders>
              <w:top w:val="nil"/>
              <w:left w:val="single" w:color="auto" w:sz="4" w:space="0"/>
              <w:bottom w:val="single" w:color="auto" w:sz="4" w:space="0"/>
              <w:right w:val="single" w:color="auto" w:sz="4" w:space="0"/>
            </w:tcBorders>
            <w:vAlign w:val="center"/>
          </w:tcPr>
          <w:p w14:paraId="22041E2E">
            <w:pPr>
              <w:snapToGrid w:val="0"/>
              <w:spacing w:line="240" w:lineRule="exact"/>
              <w:jc w:val="center"/>
              <w:rPr>
                <w:rFonts w:ascii="宋体"/>
                <w:bCs/>
                <w:sz w:val="20"/>
                <w:szCs w:val="20"/>
              </w:rPr>
            </w:pPr>
            <w:r>
              <w:rPr>
                <w:rFonts w:hint="eastAsia" w:ascii="宋体" w:hAnsi="宋体"/>
                <w:bCs/>
                <w:sz w:val="20"/>
                <w:szCs w:val="20"/>
              </w:rPr>
              <w:t>曾</w:t>
            </w:r>
          </w:p>
          <w:p w14:paraId="3E6D740A">
            <w:pPr>
              <w:snapToGrid w:val="0"/>
              <w:spacing w:line="240" w:lineRule="exact"/>
              <w:jc w:val="center"/>
              <w:rPr>
                <w:rFonts w:ascii="宋体"/>
                <w:bCs/>
                <w:sz w:val="20"/>
                <w:szCs w:val="20"/>
              </w:rPr>
            </w:pPr>
            <w:r>
              <w:rPr>
                <w:rFonts w:hint="eastAsia" w:ascii="宋体" w:hAnsi="宋体"/>
                <w:bCs/>
                <w:sz w:val="20"/>
                <w:szCs w:val="20"/>
              </w:rPr>
              <w:t>经</w:t>
            </w:r>
          </w:p>
          <w:p w14:paraId="423B0B0F">
            <w:pPr>
              <w:snapToGrid w:val="0"/>
              <w:spacing w:line="240" w:lineRule="exact"/>
              <w:jc w:val="center"/>
              <w:rPr>
                <w:rFonts w:ascii="宋体"/>
                <w:bCs/>
                <w:sz w:val="20"/>
                <w:szCs w:val="20"/>
              </w:rPr>
            </w:pPr>
            <w:r>
              <w:rPr>
                <w:rFonts w:hint="eastAsia" w:ascii="宋体" w:hAnsi="宋体"/>
                <w:bCs/>
                <w:sz w:val="20"/>
                <w:szCs w:val="20"/>
              </w:rPr>
              <w:t>带</w:t>
            </w:r>
          </w:p>
          <w:p w14:paraId="6EA83D24">
            <w:pPr>
              <w:snapToGrid w:val="0"/>
              <w:spacing w:line="240" w:lineRule="exact"/>
              <w:jc w:val="center"/>
              <w:rPr>
                <w:rFonts w:ascii="宋体"/>
                <w:bCs/>
                <w:sz w:val="20"/>
                <w:szCs w:val="20"/>
              </w:rPr>
            </w:pPr>
            <w:r>
              <w:rPr>
                <w:rFonts w:hint="eastAsia" w:ascii="宋体" w:hAnsi="宋体"/>
                <w:bCs/>
                <w:sz w:val="20"/>
                <w:szCs w:val="20"/>
              </w:rPr>
              <w:t>队</w:t>
            </w:r>
          </w:p>
          <w:p w14:paraId="1E967EEB">
            <w:pPr>
              <w:snapToGrid w:val="0"/>
              <w:spacing w:line="240" w:lineRule="exact"/>
              <w:jc w:val="center"/>
              <w:rPr>
                <w:rFonts w:ascii="宋体"/>
                <w:bCs/>
                <w:sz w:val="20"/>
                <w:szCs w:val="20"/>
              </w:rPr>
            </w:pPr>
            <w:r>
              <w:rPr>
                <w:rFonts w:hint="eastAsia" w:ascii="宋体" w:hAnsi="宋体"/>
                <w:bCs/>
                <w:sz w:val="20"/>
                <w:szCs w:val="20"/>
              </w:rPr>
              <w:t>业</w:t>
            </w:r>
          </w:p>
          <w:p w14:paraId="298DBCFC">
            <w:pPr>
              <w:snapToGrid w:val="0"/>
              <w:spacing w:line="240" w:lineRule="exact"/>
              <w:jc w:val="center"/>
              <w:rPr>
                <w:rFonts w:ascii="宋体"/>
                <w:bCs/>
                <w:sz w:val="20"/>
                <w:szCs w:val="20"/>
              </w:rPr>
            </w:pPr>
            <w:r>
              <w:rPr>
                <w:rFonts w:hint="eastAsia" w:ascii="宋体" w:hAnsi="宋体"/>
                <w:bCs/>
                <w:sz w:val="20"/>
                <w:szCs w:val="20"/>
              </w:rPr>
              <w:t>绩</w:t>
            </w:r>
          </w:p>
        </w:tc>
        <w:tc>
          <w:tcPr>
            <w:tcW w:w="8068" w:type="dxa"/>
            <w:gridSpan w:val="11"/>
            <w:tcBorders>
              <w:top w:val="single" w:color="auto" w:sz="4" w:space="0"/>
              <w:left w:val="single" w:color="auto" w:sz="4" w:space="0"/>
              <w:right w:val="single" w:color="auto" w:sz="4" w:space="0"/>
            </w:tcBorders>
            <w:vAlign w:val="center"/>
          </w:tcPr>
          <w:p w14:paraId="0358F012">
            <w:pPr>
              <w:spacing w:line="240" w:lineRule="exact"/>
              <w:rPr>
                <w:rFonts w:ascii="宋体" w:cs="宋体"/>
                <w:kern w:val="0"/>
                <w:sz w:val="20"/>
                <w:szCs w:val="20"/>
              </w:rPr>
            </w:pPr>
            <w:r>
              <w:rPr>
                <w:rFonts w:ascii="宋体" w:hAnsi="宋体" w:cs="宋体"/>
                <w:kern w:val="0"/>
                <w:sz w:val="20"/>
                <w:szCs w:val="20"/>
              </w:rPr>
              <w:t xml:space="preserve"> </w:t>
            </w:r>
          </w:p>
        </w:tc>
      </w:tr>
      <w:tr w14:paraId="247D2721">
        <w:tblPrEx>
          <w:tblCellMar>
            <w:top w:w="0" w:type="dxa"/>
            <w:left w:w="108" w:type="dxa"/>
            <w:bottom w:w="0" w:type="dxa"/>
            <w:right w:w="108" w:type="dxa"/>
          </w:tblCellMar>
        </w:tblPrEx>
        <w:trPr>
          <w:trHeight w:val="2314" w:hRule="atLeast"/>
          <w:jc w:val="center"/>
        </w:trPr>
        <w:tc>
          <w:tcPr>
            <w:tcW w:w="1635" w:type="dxa"/>
            <w:tcBorders>
              <w:top w:val="single" w:color="auto" w:sz="4" w:space="0"/>
              <w:left w:val="single" w:color="auto" w:sz="4" w:space="0"/>
              <w:bottom w:val="single" w:color="auto" w:sz="4" w:space="0"/>
              <w:right w:val="single" w:color="auto" w:sz="4" w:space="0"/>
            </w:tcBorders>
            <w:vAlign w:val="center"/>
          </w:tcPr>
          <w:p w14:paraId="23F6F919">
            <w:pPr>
              <w:widowControl/>
              <w:spacing w:line="300" w:lineRule="exact"/>
              <w:jc w:val="center"/>
              <w:rPr>
                <w:rFonts w:ascii="宋体" w:cs="宋体"/>
                <w:kern w:val="0"/>
                <w:sz w:val="20"/>
                <w:szCs w:val="20"/>
              </w:rPr>
            </w:pPr>
            <w:r>
              <w:rPr>
                <w:rFonts w:hint="eastAsia" w:ascii="宋体" w:hAnsi="宋体" w:cs="宋体"/>
                <w:kern w:val="0"/>
                <w:sz w:val="20"/>
                <w:szCs w:val="20"/>
              </w:rPr>
              <w:t>本人</w:t>
            </w:r>
          </w:p>
          <w:p w14:paraId="15FDA9B4">
            <w:pPr>
              <w:widowControl/>
              <w:spacing w:line="300" w:lineRule="exact"/>
              <w:jc w:val="center"/>
              <w:rPr>
                <w:rFonts w:ascii="宋体" w:cs="宋体"/>
                <w:kern w:val="0"/>
                <w:sz w:val="20"/>
                <w:szCs w:val="20"/>
              </w:rPr>
            </w:pPr>
            <w:r>
              <w:rPr>
                <w:rFonts w:hint="eastAsia" w:ascii="宋体" w:hAnsi="宋体" w:cs="宋体"/>
                <w:kern w:val="0"/>
                <w:sz w:val="20"/>
                <w:szCs w:val="20"/>
              </w:rPr>
              <w:t>填写</w:t>
            </w:r>
          </w:p>
          <w:p w14:paraId="39332A27">
            <w:pPr>
              <w:widowControl/>
              <w:spacing w:line="300" w:lineRule="exact"/>
              <w:jc w:val="center"/>
              <w:rPr>
                <w:rFonts w:ascii="宋体" w:cs="宋体"/>
                <w:kern w:val="0"/>
                <w:sz w:val="20"/>
                <w:szCs w:val="20"/>
              </w:rPr>
            </w:pPr>
            <w:r>
              <w:rPr>
                <w:rFonts w:hint="eastAsia" w:ascii="宋体" w:hAnsi="宋体" w:cs="宋体"/>
                <w:kern w:val="0"/>
                <w:sz w:val="20"/>
                <w:szCs w:val="20"/>
              </w:rPr>
              <w:t>信息</w:t>
            </w:r>
          </w:p>
          <w:p w14:paraId="13416602">
            <w:pPr>
              <w:widowControl/>
              <w:spacing w:line="300" w:lineRule="exact"/>
              <w:jc w:val="center"/>
              <w:rPr>
                <w:rFonts w:ascii="宋体" w:cs="宋体"/>
                <w:kern w:val="0"/>
                <w:sz w:val="20"/>
                <w:szCs w:val="20"/>
              </w:rPr>
            </w:pPr>
            <w:r>
              <w:rPr>
                <w:rFonts w:hint="eastAsia" w:ascii="宋体" w:hAnsi="宋体" w:cs="宋体"/>
                <w:kern w:val="0"/>
                <w:sz w:val="20"/>
                <w:szCs w:val="20"/>
              </w:rPr>
              <w:t>核对</w:t>
            </w:r>
          </w:p>
          <w:p w14:paraId="312A1632">
            <w:pPr>
              <w:widowControl/>
              <w:spacing w:line="300" w:lineRule="exact"/>
              <w:jc w:val="center"/>
              <w:rPr>
                <w:rFonts w:ascii="宋体" w:cs="宋体"/>
                <w:kern w:val="0"/>
                <w:sz w:val="20"/>
                <w:szCs w:val="20"/>
              </w:rPr>
            </w:pPr>
            <w:r>
              <w:rPr>
                <w:rFonts w:hint="eastAsia" w:ascii="宋体" w:hAnsi="宋体" w:cs="宋体"/>
                <w:kern w:val="0"/>
                <w:sz w:val="20"/>
                <w:szCs w:val="20"/>
              </w:rPr>
              <w:t>情况</w:t>
            </w:r>
          </w:p>
        </w:tc>
        <w:tc>
          <w:tcPr>
            <w:tcW w:w="2534" w:type="dxa"/>
            <w:gridSpan w:val="3"/>
            <w:tcBorders>
              <w:top w:val="single" w:color="auto" w:sz="4" w:space="0"/>
              <w:left w:val="nil"/>
              <w:bottom w:val="single" w:color="auto" w:sz="4" w:space="0"/>
              <w:right w:val="single" w:color="auto" w:sz="4" w:space="0"/>
            </w:tcBorders>
            <w:vAlign w:val="center"/>
          </w:tcPr>
          <w:p w14:paraId="7C666D63">
            <w:pPr>
              <w:widowControl/>
              <w:spacing w:line="240" w:lineRule="exact"/>
              <w:jc w:val="left"/>
              <w:rPr>
                <w:rFonts w:ascii="宋体" w:cs="宋体"/>
                <w:kern w:val="0"/>
                <w:sz w:val="20"/>
                <w:szCs w:val="20"/>
              </w:rPr>
            </w:pPr>
            <w:r>
              <w:rPr>
                <w:rFonts w:hint="eastAsia" w:ascii="宋体" w:hAnsi="宋体" w:cs="宋体"/>
                <w:kern w:val="0"/>
                <w:sz w:val="20"/>
                <w:szCs w:val="20"/>
              </w:rPr>
              <w:t>以上信息填写属实。</w:t>
            </w:r>
          </w:p>
          <w:p w14:paraId="163A3549">
            <w:pPr>
              <w:widowControl/>
              <w:spacing w:line="240" w:lineRule="exact"/>
              <w:ind w:firstLine="420"/>
              <w:jc w:val="left"/>
              <w:rPr>
                <w:rFonts w:ascii="宋体" w:cs="宋体"/>
                <w:kern w:val="0"/>
                <w:sz w:val="20"/>
                <w:szCs w:val="20"/>
              </w:rPr>
            </w:pPr>
          </w:p>
          <w:p w14:paraId="0DD0C62D">
            <w:pPr>
              <w:widowControl/>
              <w:spacing w:line="240" w:lineRule="exact"/>
              <w:ind w:firstLine="420"/>
              <w:jc w:val="left"/>
              <w:rPr>
                <w:rFonts w:ascii="宋体" w:cs="宋体"/>
                <w:kern w:val="0"/>
                <w:sz w:val="20"/>
                <w:szCs w:val="20"/>
              </w:rPr>
            </w:pPr>
          </w:p>
          <w:p w14:paraId="7426992D">
            <w:pPr>
              <w:widowControl/>
              <w:spacing w:line="240" w:lineRule="exact"/>
              <w:ind w:firstLine="420"/>
              <w:jc w:val="left"/>
              <w:rPr>
                <w:rFonts w:ascii="宋体" w:cs="宋体"/>
                <w:kern w:val="0"/>
                <w:sz w:val="20"/>
                <w:szCs w:val="20"/>
              </w:rPr>
            </w:pPr>
          </w:p>
          <w:p w14:paraId="04B173F9">
            <w:pPr>
              <w:widowControl/>
              <w:spacing w:line="240" w:lineRule="exact"/>
              <w:jc w:val="left"/>
              <w:rPr>
                <w:rFonts w:ascii="宋体" w:hAnsi="宋体" w:cs="宋体"/>
                <w:kern w:val="0"/>
                <w:sz w:val="20"/>
                <w:szCs w:val="20"/>
              </w:rPr>
            </w:pPr>
            <w:r>
              <w:rPr>
                <w:rFonts w:hint="eastAsia" w:ascii="宋体" w:hAnsi="宋体" w:cs="宋体"/>
                <w:kern w:val="0"/>
                <w:sz w:val="20"/>
                <w:szCs w:val="20"/>
              </w:rPr>
              <w:t>本人签名：</w:t>
            </w:r>
          </w:p>
          <w:p w14:paraId="5CC00171">
            <w:pPr>
              <w:widowControl/>
              <w:spacing w:line="240" w:lineRule="exact"/>
              <w:jc w:val="left"/>
              <w:rPr>
                <w:rFonts w:ascii="宋体" w:hAnsi="宋体" w:cs="宋体"/>
                <w:kern w:val="0"/>
                <w:sz w:val="20"/>
                <w:szCs w:val="20"/>
              </w:rPr>
            </w:pPr>
          </w:p>
          <w:p w14:paraId="6AE4C858">
            <w:pPr>
              <w:widowControl/>
              <w:spacing w:line="240" w:lineRule="exact"/>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w:t>
            </w:r>
          </w:p>
        </w:tc>
        <w:tc>
          <w:tcPr>
            <w:tcW w:w="1050" w:type="dxa"/>
            <w:gridSpan w:val="2"/>
            <w:tcBorders>
              <w:top w:val="single" w:color="auto" w:sz="4" w:space="0"/>
              <w:left w:val="nil"/>
              <w:bottom w:val="single" w:color="auto" w:sz="4" w:space="0"/>
              <w:right w:val="single" w:color="auto" w:sz="4" w:space="0"/>
            </w:tcBorders>
            <w:vAlign w:val="center"/>
          </w:tcPr>
          <w:p w14:paraId="30DCAD39">
            <w:pPr>
              <w:widowControl/>
              <w:spacing w:line="300" w:lineRule="exact"/>
              <w:jc w:val="center"/>
              <w:rPr>
                <w:rFonts w:ascii="宋体" w:cs="宋体"/>
                <w:kern w:val="0"/>
                <w:sz w:val="20"/>
                <w:szCs w:val="20"/>
              </w:rPr>
            </w:pPr>
            <w:r>
              <w:rPr>
                <w:rFonts w:hint="eastAsia" w:ascii="宋体" w:hAnsi="宋体" w:cs="宋体"/>
                <w:kern w:val="0"/>
                <w:sz w:val="20"/>
                <w:szCs w:val="20"/>
              </w:rPr>
              <w:t>考核小组意见</w:t>
            </w:r>
          </w:p>
        </w:tc>
        <w:tc>
          <w:tcPr>
            <w:tcW w:w="4484" w:type="dxa"/>
            <w:gridSpan w:val="6"/>
            <w:tcBorders>
              <w:top w:val="single" w:color="auto" w:sz="4" w:space="0"/>
              <w:left w:val="nil"/>
              <w:bottom w:val="single" w:color="auto" w:sz="4" w:space="0"/>
              <w:right w:val="single" w:color="auto" w:sz="4" w:space="0"/>
            </w:tcBorders>
            <w:vAlign w:val="center"/>
          </w:tcPr>
          <w:p w14:paraId="0A4E8F39">
            <w:pPr>
              <w:widowControl/>
              <w:spacing w:line="240" w:lineRule="exact"/>
              <w:jc w:val="left"/>
              <w:rPr>
                <w:rFonts w:ascii="宋体" w:cs="宋体"/>
                <w:kern w:val="0"/>
                <w:sz w:val="20"/>
                <w:szCs w:val="20"/>
              </w:rPr>
            </w:pPr>
          </w:p>
          <w:p w14:paraId="42580A0C">
            <w:pPr>
              <w:widowControl/>
              <w:spacing w:line="240" w:lineRule="exact"/>
              <w:jc w:val="left"/>
              <w:rPr>
                <w:rFonts w:ascii="宋体" w:hAnsi="宋体" w:cs="宋体"/>
                <w:kern w:val="0"/>
                <w:sz w:val="20"/>
                <w:szCs w:val="20"/>
              </w:rPr>
            </w:pPr>
          </w:p>
          <w:p w14:paraId="40E95F69">
            <w:pPr>
              <w:widowControl/>
              <w:spacing w:line="240" w:lineRule="exact"/>
              <w:jc w:val="left"/>
              <w:rPr>
                <w:rFonts w:ascii="宋体" w:hAnsi="宋体" w:cs="宋体"/>
                <w:kern w:val="0"/>
                <w:sz w:val="20"/>
                <w:szCs w:val="20"/>
              </w:rPr>
            </w:pPr>
          </w:p>
          <w:p w14:paraId="746CE890">
            <w:pPr>
              <w:widowControl/>
              <w:spacing w:line="240" w:lineRule="exact"/>
              <w:jc w:val="left"/>
              <w:rPr>
                <w:rFonts w:ascii="宋体" w:hAnsi="宋体" w:cs="宋体"/>
                <w:kern w:val="0"/>
                <w:sz w:val="20"/>
                <w:szCs w:val="20"/>
              </w:rPr>
            </w:pPr>
          </w:p>
          <w:p w14:paraId="64721C23">
            <w:pPr>
              <w:widowControl/>
              <w:spacing w:line="240" w:lineRule="exact"/>
              <w:jc w:val="left"/>
              <w:rPr>
                <w:rFonts w:ascii="宋体" w:hAnsi="宋体" w:cs="宋体"/>
                <w:kern w:val="0"/>
                <w:sz w:val="20"/>
                <w:szCs w:val="20"/>
              </w:rPr>
            </w:pPr>
          </w:p>
          <w:p w14:paraId="07274E37">
            <w:pPr>
              <w:widowControl/>
              <w:spacing w:line="240" w:lineRule="exact"/>
              <w:jc w:val="left"/>
              <w:rPr>
                <w:rFonts w:ascii="宋体" w:hAnsi="宋体" w:cs="宋体"/>
                <w:kern w:val="0"/>
                <w:sz w:val="20"/>
                <w:szCs w:val="20"/>
              </w:rPr>
            </w:pPr>
          </w:p>
          <w:p w14:paraId="0545C1FF">
            <w:pPr>
              <w:widowControl/>
              <w:spacing w:line="240" w:lineRule="exact"/>
              <w:ind w:firstLine="1800" w:firstLineChars="900"/>
              <w:jc w:val="left"/>
              <w:rPr>
                <w:rFonts w:ascii="宋体" w:hAnsi="宋体" w:cs="宋体"/>
                <w:kern w:val="0"/>
                <w:sz w:val="20"/>
                <w:szCs w:val="20"/>
              </w:rPr>
            </w:pPr>
            <w:r>
              <w:rPr>
                <w:rFonts w:hint="eastAsia" w:ascii="宋体" w:hAnsi="宋体" w:cs="宋体"/>
                <w:kern w:val="0"/>
                <w:sz w:val="20"/>
                <w:szCs w:val="20"/>
              </w:rPr>
              <w:t>签（章）：</w:t>
            </w:r>
            <w:r>
              <w:rPr>
                <w:rFonts w:ascii="宋体" w:hAnsi="宋体" w:cs="宋体"/>
                <w:kern w:val="0"/>
                <w:sz w:val="20"/>
                <w:szCs w:val="20"/>
              </w:rPr>
              <w:t xml:space="preserve"> </w:t>
            </w:r>
          </w:p>
          <w:p w14:paraId="61EA3197">
            <w:pPr>
              <w:widowControl/>
              <w:spacing w:line="240" w:lineRule="exact"/>
              <w:ind w:firstLine="1800" w:firstLineChars="900"/>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w:t>
            </w:r>
          </w:p>
        </w:tc>
      </w:tr>
      <w:tr w14:paraId="2437650C">
        <w:tblPrEx>
          <w:tblCellMar>
            <w:top w:w="0" w:type="dxa"/>
            <w:left w:w="108" w:type="dxa"/>
            <w:bottom w:w="0" w:type="dxa"/>
            <w:right w:w="108" w:type="dxa"/>
          </w:tblCellMar>
        </w:tblPrEx>
        <w:trPr>
          <w:trHeight w:val="2262" w:hRule="atLeast"/>
          <w:jc w:val="center"/>
        </w:trPr>
        <w:tc>
          <w:tcPr>
            <w:tcW w:w="1635" w:type="dxa"/>
            <w:tcBorders>
              <w:top w:val="nil"/>
              <w:left w:val="single" w:color="auto" w:sz="4" w:space="0"/>
              <w:bottom w:val="single" w:color="auto" w:sz="4" w:space="0"/>
              <w:right w:val="single" w:color="auto" w:sz="4" w:space="0"/>
            </w:tcBorders>
            <w:vAlign w:val="center"/>
          </w:tcPr>
          <w:p w14:paraId="78676531">
            <w:pPr>
              <w:widowControl/>
              <w:spacing w:line="300" w:lineRule="exact"/>
              <w:jc w:val="center"/>
              <w:rPr>
                <w:rFonts w:ascii="宋体" w:cs="宋体"/>
                <w:kern w:val="0"/>
                <w:sz w:val="20"/>
                <w:szCs w:val="20"/>
              </w:rPr>
            </w:pPr>
            <w:r>
              <w:rPr>
                <w:rFonts w:hint="eastAsia" w:ascii="宋体" w:hAnsi="宋体" w:cs="宋体"/>
                <w:kern w:val="0"/>
                <w:sz w:val="20"/>
                <w:szCs w:val="20"/>
              </w:rPr>
              <w:t>党政联席会意见</w:t>
            </w:r>
          </w:p>
        </w:tc>
        <w:tc>
          <w:tcPr>
            <w:tcW w:w="8068" w:type="dxa"/>
            <w:gridSpan w:val="11"/>
            <w:tcBorders>
              <w:top w:val="single" w:color="auto" w:sz="4" w:space="0"/>
              <w:left w:val="nil"/>
              <w:bottom w:val="single" w:color="auto" w:sz="4" w:space="0"/>
              <w:right w:val="single" w:color="auto" w:sz="4" w:space="0"/>
            </w:tcBorders>
            <w:vAlign w:val="center"/>
          </w:tcPr>
          <w:p w14:paraId="4669C84F">
            <w:pPr>
              <w:widowControl/>
              <w:spacing w:line="240" w:lineRule="exact"/>
              <w:jc w:val="left"/>
              <w:rPr>
                <w:rFonts w:ascii="宋体" w:cs="宋体"/>
                <w:kern w:val="0"/>
                <w:sz w:val="20"/>
                <w:szCs w:val="20"/>
              </w:rPr>
            </w:pPr>
          </w:p>
          <w:p w14:paraId="4D85416F">
            <w:pPr>
              <w:widowControl/>
              <w:spacing w:line="240" w:lineRule="exact"/>
              <w:jc w:val="left"/>
              <w:rPr>
                <w:rFonts w:ascii="宋体" w:cs="宋体"/>
                <w:kern w:val="0"/>
                <w:sz w:val="20"/>
                <w:szCs w:val="20"/>
              </w:rPr>
            </w:pPr>
          </w:p>
          <w:p w14:paraId="36FAFB3D">
            <w:pPr>
              <w:widowControl/>
              <w:spacing w:line="240" w:lineRule="exact"/>
              <w:jc w:val="left"/>
              <w:rPr>
                <w:rFonts w:ascii="宋体" w:cs="宋体"/>
                <w:kern w:val="0"/>
                <w:sz w:val="20"/>
                <w:szCs w:val="20"/>
              </w:rPr>
            </w:pPr>
          </w:p>
          <w:p w14:paraId="44B0634B">
            <w:pPr>
              <w:widowControl/>
              <w:spacing w:line="240" w:lineRule="exact"/>
              <w:ind w:right="800"/>
              <w:rPr>
                <w:rFonts w:ascii="宋体" w:hAnsi="宋体" w:cs="宋体"/>
                <w:kern w:val="0"/>
                <w:sz w:val="20"/>
                <w:szCs w:val="20"/>
              </w:rPr>
            </w:pPr>
          </w:p>
          <w:p w14:paraId="31A9D1C9">
            <w:pPr>
              <w:widowControl/>
              <w:spacing w:line="240" w:lineRule="exact"/>
              <w:ind w:right="800"/>
              <w:jc w:val="center"/>
              <w:rPr>
                <w:rFonts w:ascii="宋体" w:hAnsi="宋体" w:cs="宋体"/>
                <w:kern w:val="0"/>
                <w:sz w:val="20"/>
                <w:szCs w:val="20"/>
              </w:rPr>
            </w:pPr>
            <w:r>
              <w:rPr>
                <w:rFonts w:hint="eastAsia" w:ascii="宋体" w:hAnsi="宋体" w:cs="宋体"/>
                <w:kern w:val="0"/>
                <w:sz w:val="20"/>
                <w:szCs w:val="20"/>
              </w:rPr>
              <w:t xml:space="preserve">                                                      </w:t>
            </w:r>
          </w:p>
          <w:p w14:paraId="7869A1FE">
            <w:pPr>
              <w:widowControl/>
              <w:spacing w:line="240" w:lineRule="exact"/>
              <w:ind w:right="800"/>
              <w:jc w:val="center"/>
              <w:rPr>
                <w:rFonts w:ascii="宋体" w:cs="宋体"/>
                <w:kern w:val="0"/>
                <w:sz w:val="20"/>
                <w:szCs w:val="20"/>
              </w:rPr>
            </w:pPr>
            <w:r>
              <w:rPr>
                <w:rFonts w:hint="eastAsia" w:ascii="宋体" w:hAnsi="宋体" w:cs="宋体"/>
                <w:kern w:val="0"/>
                <w:sz w:val="20"/>
                <w:szCs w:val="20"/>
              </w:rPr>
              <w:t xml:space="preserve">                                            签（章）：</w:t>
            </w:r>
          </w:p>
          <w:p w14:paraId="53C17821">
            <w:pPr>
              <w:widowControl/>
              <w:spacing w:line="240" w:lineRule="exact"/>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月</w:t>
            </w:r>
            <w:r>
              <w:rPr>
                <w:rFonts w:ascii="宋体" w:hAnsi="宋体" w:cs="宋体"/>
                <w:kern w:val="0"/>
                <w:sz w:val="20"/>
                <w:szCs w:val="20"/>
              </w:rPr>
              <w:t xml:space="preserve">    </w:t>
            </w:r>
            <w:r>
              <w:rPr>
                <w:rFonts w:hint="eastAsia" w:ascii="宋体" w:hAnsi="宋体" w:cs="宋体"/>
                <w:kern w:val="0"/>
                <w:sz w:val="20"/>
                <w:szCs w:val="20"/>
              </w:rPr>
              <w:t>日</w:t>
            </w:r>
          </w:p>
        </w:tc>
      </w:tr>
    </w:tbl>
    <w:p w14:paraId="4CB378F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15DE5B68">
      <w:pPr>
        <w:pStyle w:val="3"/>
        <w:keepNext/>
        <w:keepLines/>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heme="minorEastAsia" w:hAnsiTheme="minorEastAsia" w:cstheme="minorEastAsia"/>
          <w:color w:val="auto"/>
          <w:kern w:val="0"/>
          <w:sz w:val="28"/>
          <w:szCs w:val="28"/>
          <w:highlight w:val="none"/>
        </w:rPr>
      </w:pPr>
      <w:bookmarkStart w:id="14" w:name="_Toc22222"/>
      <w:r>
        <w:rPr>
          <w:rFonts w:hint="eastAsia" w:ascii="Times New Roman" w:hAnsi="Times New Roman" w:eastAsia="黑体" w:cstheme="minorBidi"/>
          <w:b/>
          <w:color w:val="auto"/>
          <w:kern w:val="2"/>
          <w:sz w:val="36"/>
          <w:szCs w:val="36"/>
          <w:lang w:val="en-US" w:eastAsia="zh-CN" w:bidi="ar-SA"/>
        </w:rPr>
        <w:t>体育部教改项目推选评审细则（修订版）</w:t>
      </w:r>
      <w:bookmarkEnd w:id="14"/>
    </w:p>
    <w:p w14:paraId="3E4DDAB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根据学校《湖南女子学院本科教学质量与教学改革工程项目管理办法（修订）》，学校将教学改革项目申报数额分配到二级学院，二级学院负责对申报的项目进行择优推荐，为了确保推选的质量与公正公平，特制定本细则。</w:t>
      </w:r>
    </w:p>
    <w:p w14:paraId="33A54D78">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一、评委的产生及条件</w:t>
      </w:r>
    </w:p>
    <w:p w14:paraId="010894E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由体育部教学指导委员会及相关副高以上教师代表</w:t>
      </w:r>
      <w:r>
        <w:rPr>
          <w:rFonts w:hint="eastAsia" w:asciiTheme="minorEastAsia" w:hAnsiTheme="minorEastAsia" w:cstheme="minorEastAsia"/>
          <w:color w:val="auto"/>
          <w:kern w:val="0"/>
          <w:sz w:val="28"/>
          <w:szCs w:val="28"/>
          <w:highlight w:val="none"/>
          <w:lang w:val="en-US" w:eastAsia="zh-CN"/>
        </w:rPr>
        <w:t>或外请专家</w:t>
      </w:r>
      <w:r>
        <w:rPr>
          <w:rFonts w:hint="eastAsia" w:asciiTheme="minorEastAsia" w:hAnsiTheme="minorEastAsia" w:cstheme="minorEastAsia"/>
          <w:color w:val="auto"/>
          <w:kern w:val="0"/>
          <w:sz w:val="28"/>
          <w:szCs w:val="28"/>
          <w:highlight w:val="none"/>
        </w:rPr>
        <w:t>负责项目的评选。</w:t>
      </w:r>
    </w:p>
    <w:p w14:paraId="0BD211D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评审采取回避制，即评委自己申报了项目则须回避，评委作为课题组成员参与了某项目，则不得参与该申报项目的评分（因取平均分，故不影响结果）。</w:t>
      </w:r>
    </w:p>
    <w:p w14:paraId="51A8BB9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为确保公平公正，评委的来源应充分考虑学科专业的大致平衡。</w:t>
      </w:r>
    </w:p>
    <w:p w14:paraId="553695D2">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二、评审的程序</w:t>
      </w:r>
    </w:p>
    <w:p w14:paraId="094CDAD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体育部综合办公室在规定截止日前将接收到的申报书及申报信息表汇总后将情况向主持</w:t>
      </w:r>
      <w:r>
        <w:rPr>
          <w:rFonts w:hint="eastAsia" w:asciiTheme="minorEastAsia" w:hAnsiTheme="minorEastAsia" w:cstheme="minorEastAsia"/>
          <w:color w:val="auto"/>
          <w:kern w:val="0"/>
          <w:sz w:val="28"/>
          <w:szCs w:val="28"/>
          <w:highlight w:val="none"/>
          <w:lang w:val="en-US" w:eastAsia="zh-CN"/>
        </w:rPr>
        <w:t>教学</w:t>
      </w:r>
      <w:r>
        <w:rPr>
          <w:rFonts w:hint="eastAsia" w:asciiTheme="minorEastAsia" w:hAnsiTheme="minorEastAsia" w:cstheme="minorEastAsia"/>
          <w:color w:val="auto"/>
          <w:kern w:val="0"/>
          <w:sz w:val="28"/>
          <w:szCs w:val="28"/>
          <w:highlight w:val="none"/>
        </w:rPr>
        <w:t>工作体育部副主任汇报申报情况，由副主任汇报体育部主任并确定评委。</w:t>
      </w:r>
    </w:p>
    <w:p w14:paraId="01EE2EC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综合办公室将项目申报书分别发给评委，评委以《体育部教改项目评审指标》为依据对申报书进行评分（直接打总分），最终分为各评委打分的总和除以本项目评委打分人数，按照得分多少，从高到低排序，以决定被推选的名单。综合办公室主任与干事负责评审合分及汇总。</w:t>
      </w:r>
    </w:p>
    <w:p w14:paraId="342520E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体育部原则上按照项目申报书评审得分高低进行推荐，若有本细则第三部分的情况，则主持工作体育部副主任须召集体育部教学指导委员会委员进行合议以产生推荐名单。</w:t>
      </w:r>
    </w:p>
    <w:p w14:paraId="2A3FE22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根据评定出的结果，形成本次教改项目二级学院的推送表，各评委在推送表上签字。</w:t>
      </w:r>
    </w:p>
    <w:p w14:paraId="14EBA044">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三、评审相关数额的规定</w:t>
      </w:r>
    </w:p>
    <w:p w14:paraId="5227C24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推荐项目数额以当年学校分配给体育部的项目为准，其中2项为公共体育项目。</w:t>
      </w:r>
    </w:p>
    <w:p w14:paraId="48A2F2E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为了使项目尽量做到专业上的平衡以确保体育部内各专业教学改革的推进，当出现某一个专业入围项目超过总项目1/6时，最多取前3项推送，其余入围项目舍去，并在其他专业中按照评分高低顺次补足，若其他专业总计不够可申报项目则不受此规定限制。</w:t>
      </w:r>
    </w:p>
    <w:p w14:paraId="66AA369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体育部行政工作人员申报的项目不能超过总推选项目数的三分之一。</w:t>
      </w:r>
    </w:p>
    <w:p w14:paraId="7A038A0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项目的评选适度向拟参加专业认证的专业倾斜、适度向青年教师倾斜，青年申报应占每次申报的三分之一及以上。</w:t>
      </w:r>
    </w:p>
    <w:p w14:paraId="2F42D8FE">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四、评审结果及公示</w:t>
      </w:r>
    </w:p>
    <w:p w14:paraId="0F9901A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评审结果在体育部进行公示至少3个工作日，对于评选结果有异议，可申请复议一次，最后的结果原则上由体育部教学指导委员会集体裁定。</w:t>
      </w:r>
    </w:p>
    <w:p w14:paraId="55D7553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对于申报的项目，不管被推送与否，均由体育部综合办公室在册登记，作为专业与个人年终绩效评定考核的指标之一。</w:t>
      </w:r>
    </w:p>
    <w:p w14:paraId="0D26F6B7">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五、特殊情况处理</w:t>
      </w:r>
    </w:p>
    <w:p w14:paraId="0C008BE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当各教研室申报数额低于应申报数时，经评审确定申报书无明显质量问题，可以纳入优先推荐名单。</w:t>
      </w:r>
    </w:p>
    <w:p w14:paraId="1692A30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某教研室入围项目多于规定数额需要做出教研室内部的取舍时，一般按照得分高低进行推荐，但若质量不相上下，则优先青年教师、优先近3年未申报的教师。</w:t>
      </w:r>
    </w:p>
    <w:p w14:paraId="115EE4D8">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六、其他</w:t>
      </w:r>
    </w:p>
    <w:p w14:paraId="7DC2A8F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本细则未明情况，由主持工作体育部副主任负责解释。</w:t>
      </w:r>
    </w:p>
    <w:p w14:paraId="457578B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本细则从颁布之日起执行，此前的《体育部教改项目评审细则》废止。</w:t>
      </w:r>
    </w:p>
    <w:p w14:paraId="7BF2735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C7E652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229D49C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598D922">
      <w:pPr>
        <w:spacing w:line="440" w:lineRule="exact"/>
        <w:ind w:firstLine="5040" w:firstLineChars="1800"/>
        <w:rPr>
          <w:rFonts w:hint="eastAsia" w:asciiTheme="minorEastAsia" w:hAnsiTheme="minorEastAsia"/>
          <w:color w:val="auto"/>
          <w:sz w:val="28"/>
          <w:szCs w:val="28"/>
        </w:rPr>
      </w:pP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stheme="minorEastAsia"/>
          <w:color w:val="auto"/>
          <w:kern w:val="0"/>
          <w:sz w:val="28"/>
          <w:szCs w:val="28"/>
          <w:highlight w:val="none"/>
        </w:rPr>
        <w:t xml:space="preserve"> </w:t>
      </w: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olor w:val="auto"/>
          <w:sz w:val="28"/>
          <w:szCs w:val="28"/>
        </w:rPr>
        <w:t>体育部</w:t>
      </w:r>
    </w:p>
    <w:p w14:paraId="378D34AA">
      <w:pPr>
        <w:snapToGrid w:val="0"/>
        <w:spacing w:line="440" w:lineRule="exact"/>
        <w:ind w:firstLine="560" w:firstLineChars="200"/>
        <w:jc w:val="right"/>
        <w:rPr>
          <w:rFonts w:asciiTheme="minorEastAsia" w:hAnsiTheme="minorEastAsia" w:cstheme="minorEastAsia"/>
          <w:color w:val="auto"/>
          <w:sz w:val="28"/>
          <w:szCs w:val="28"/>
          <w:highlight w:val="none"/>
        </w:rPr>
      </w:pP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 xml:space="preserve"> 年 </w:t>
      </w:r>
      <w:r>
        <w:rPr>
          <w:rFonts w:hint="eastAsia" w:ascii="Times New Roman" w:hAnsi="Times New Roman" w:eastAsia="宋体" w:cs="Times New Roman"/>
          <w:color w:val="auto"/>
          <w:sz w:val="28"/>
          <w:szCs w:val="28"/>
          <w:highlight w:val="none"/>
          <w:lang w:val="en-US" w:eastAsia="zh-CN"/>
        </w:rPr>
        <w:t>3</w:t>
      </w:r>
      <w:r>
        <w:rPr>
          <w:rFonts w:hint="eastAsia" w:ascii="宋体" w:hAnsi="宋体" w:eastAsia="宋体" w:cs="宋体"/>
          <w:color w:val="auto"/>
          <w:sz w:val="28"/>
          <w:szCs w:val="28"/>
          <w:highlight w:val="none"/>
        </w:rPr>
        <w:t>月</w:t>
      </w:r>
    </w:p>
    <w:p w14:paraId="4A6A3A2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31B16364">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15818A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1440D312">
      <w:pPr>
        <w:jc w:val="center"/>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体育部</w:t>
      </w:r>
      <w:r>
        <w:rPr>
          <w:rFonts w:hint="eastAsia" w:ascii="黑体" w:hAnsi="黑体" w:eastAsia="黑体" w:cs="黑体"/>
          <w:color w:val="auto"/>
          <w:sz w:val="32"/>
          <w:szCs w:val="32"/>
        </w:rPr>
        <w:t>教改项目评选结果</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231"/>
        <w:gridCol w:w="1050"/>
        <w:gridCol w:w="1545"/>
        <w:gridCol w:w="990"/>
        <w:gridCol w:w="973"/>
      </w:tblGrid>
      <w:tr w14:paraId="650A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noWrap w:val="0"/>
            <w:vAlign w:val="center"/>
          </w:tcPr>
          <w:p w14:paraId="54A32536">
            <w:pPr>
              <w:jc w:val="center"/>
              <w:rPr>
                <w:rFonts w:hint="eastAsia" w:ascii="宋体" w:hAnsi="宋体" w:cs="宋体"/>
                <w:color w:val="auto"/>
                <w:sz w:val="24"/>
              </w:rPr>
            </w:pPr>
            <w:r>
              <w:rPr>
                <w:rFonts w:hint="eastAsia" w:ascii="宋体" w:hAnsi="宋体" w:cs="宋体"/>
                <w:color w:val="auto"/>
                <w:sz w:val="24"/>
              </w:rPr>
              <w:t>序号</w:t>
            </w:r>
          </w:p>
        </w:tc>
        <w:tc>
          <w:tcPr>
            <w:tcW w:w="3231" w:type="dxa"/>
            <w:noWrap w:val="0"/>
            <w:vAlign w:val="center"/>
          </w:tcPr>
          <w:p w14:paraId="7BA74C3B">
            <w:pPr>
              <w:jc w:val="center"/>
              <w:rPr>
                <w:rFonts w:hint="eastAsia" w:ascii="宋体" w:hAnsi="宋体" w:cs="宋体"/>
                <w:color w:val="auto"/>
                <w:sz w:val="24"/>
              </w:rPr>
            </w:pPr>
            <w:r>
              <w:rPr>
                <w:rFonts w:hint="eastAsia" w:ascii="宋体" w:hAnsi="宋体" w:cs="宋体"/>
                <w:color w:val="auto"/>
                <w:sz w:val="24"/>
              </w:rPr>
              <w:t>项目名称</w:t>
            </w:r>
          </w:p>
        </w:tc>
        <w:tc>
          <w:tcPr>
            <w:tcW w:w="1050" w:type="dxa"/>
            <w:noWrap w:val="0"/>
            <w:vAlign w:val="center"/>
          </w:tcPr>
          <w:p w14:paraId="0005B62B">
            <w:pPr>
              <w:jc w:val="center"/>
              <w:rPr>
                <w:rFonts w:hint="eastAsia" w:ascii="宋体" w:hAnsi="宋体" w:cs="宋体"/>
                <w:color w:val="auto"/>
                <w:sz w:val="24"/>
              </w:rPr>
            </w:pPr>
            <w:r>
              <w:rPr>
                <w:rFonts w:hint="eastAsia" w:ascii="宋体" w:hAnsi="宋体" w:cs="宋体"/>
                <w:color w:val="auto"/>
                <w:sz w:val="24"/>
              </w:rPr>
              <w:t>主持人</w:t>
            </w:r>
          </w:p>
        </w:tc>
        <w:tc>
          <w:tcPr>
            <w:tcW w:w="1545" w:type="dxa"/>
            <w:noWrap w:val="0"/>
            <w:vAlign w:val="center"/>
          </w:tcPr>
          <w:p w14:paraId="6B56ADCB">
            <w:pPr>
              <w:jc w:val="center"/>
              <w:rPr>
                <w:rFonts w:hint="eastAsia" w:ascii="宋体" w:hAnsi="宋体" w:cs="宋体" w:eastAsiaTheme="minorEastAsia"/>
                <w:color w:val="auto"/>
                <w:sz w:val="24"/>
                <w:lang w:eastAsia="zh-CN"/>
              </w:rPr>
            </w:pPr>
            <w:r>
              <w:rPr>
                <w:rFonts w:hint="eastAsia" w:ascii="宋体" w:hAnsi="宋体" w:cs="宋体"/>
                <w:color w:val="auto"/>
                <w:sz w:val="24"/>
                <w:lang w:val="en-US" w:eastAsia="zh-CN"/>
              </w:rPr>
              <w:t>类别</w:t>
            </w:r>
          </w:p>
        </w:tc>
        <w:tc>
          <w:tcPr>
            <w:tcW w:w="990" w:type="dxa"/>
            <w:noWrap w:val="0"/>
            <w:vAlign w:val="center"/>
          </w:tcPr>
          <w:p w14:paraId="276B820B">
            <w:pPr>
              <w:jc w:val="center"/>
              <w:rPr>
                <w:rFonts w:hint="eastAsia" w:ascii="宋体" w:hAnsi="宋体" w:cs="宋体"/>
                <w:color w:val="auto"/>
                <w:sz w:val="24"/>
              </w:rPr>
            </w:pPr>
            <w:r>
              <w:rPr>
                <w:rFonts w:hint="eastAsia" w:ascii="宋体" w:hAnsi="宋体" w:cs="宋体"/>
                <w:color w:val="auto"/>
                <w:sz w:val="24"/>
              </w:rPr>
              <w:t>评审分数</w:t>
            </w:r>
          </w:p>
        </w:tc>
        <w:tc>
          <w:tcPr>
            <w:tcW w:w="973" w:type="dxa"/>
            <w:noWrap w:val="0"/>
            <w:vAlign w:val="center"/>
          </w:tcPr>
          <w:p w14:paraId="10F04B1E">
            <w:pPr>
              <w:jc w:val="center"/>
              <w:rPr>
                <w:rFonts w:ascii="宋体" w:hAnsi="宋体" w:cs="宋体"/>
                <w:color w:val="auto"/>
                <w:sz w:val="24"/>
              </w:rPr>
            </w:pPr>
            <w:r>
              <w:rPr>
                <w:rFonts w:hint="eastAsia" w:ascii="宋体" w:hAnsi="宋体" w:cs="宋体"/>
                <w:color w:val="auto"/>
                <w:sz w:val="24"/>
              </w:rPr>
              <w:t>是否</w:t>
            </w:r>
          </w:p>
          <w:p w14:paraId="62047009">
            <w:pPr>
              <w:jc w:val="center"/>
              <w:rPr>
                <w:rFonts w:hint="eastAsia" w:ascii="宋体" w:hAnsi="宋体" w:cs="宋体"/>
                <w:color w:val="auto"/>
                <w:sz w:val="24"/>
              </w:rPr>
            </w:pPr>
            <w:r>
              <w:rPr>
                <w:rFonts w:hint="eastAsia" w:ascii="宋体" w:hAnsi="宋体" w:cs="宋体"/>
                <w:color w:val="auto"/>
                <w:sz w:val="24"/>
              </w:rPr>
              <w:t>推荐</w:t>
            </w:r>
          </w:p>
        </w:tc>
      </w:tr>
      <w:tr w14:paraId="2366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noWrap w:val="0"/>
            <w:vAlign w:val="top"/>
          </w:tcPr>
          <w:p w14:paraId="5E50955D">
            <w:pPr>
              <w:jc w:val="center"/>
              <w:rPr>
                <w:rFonts w:hint="eastAsia" w:ascii="宋体" w:hAnsi="宋体" w:cs="宋体"/>
                <w:color w:val="auto"/>
                <w:sz w:val="24"/>
              </w:rPr>
            </w:pPr>
            <w:r>
              <w:rPr>
                <w:rFonts w:hint="eastAsia" w:ascii="宋体" w:hAnsi="宋体" w:cs="宋体"/>
                <w:color w:val="auto"/>
                <w:sz w:val="24"/>
              </w:rPr>
              <w:t>1</w:t>
            </w:r>
          </w:p>
        </w:tc>
        <w:tc>
          <w:tcPr>
            <w:tcW w:w="3231" w:type="dxa"/>
            <w:noWrap w:val="0"/>
            <w:vAlign w:val="top"/>
          </w:tcPr>
          <w:p w14:paraId="43179B36">
            <w:pPr>
              <w:jc w:val="left"/>
              <w:rPr>
                <w:rFonts w:hint="eastAsia" w:ascii="宋体" w:hAnsi="宋体" w:cs="宋体"/>
                <w:color w:val="auto"/>
                <w:sz w:val="24"/>
              </w:rPr>
            </w:pPr>
          </w:p>
        </w:tc>
        <w:tc>
          <w:tcPr>
            <w:tcW w:w="1050" w:type="dxa"/>
            <w:noWrap w:val="0"/>
            <w:vAlign w:val="top"/>
          </w:tcPr>
          <w:p w14:paraId="2CD6B64F">
            <w:pPr>
              <w:jc w:val="left"/>
              <w:rPr>
                <w:rFonts w:hint="eastAsia" w:ascii="宋体" w:hAnsi="宋体" w:cs="宋体"/>
                <w:color w:val="auto"/>
                <w:sz w:val="24"/>
              </w:rPr>
            </w:pPr>
          </w:p>
        </w:tc>
        <w:tc>
          <w:tcPr>
            <w:tcW w:w="1545" w:type="dxa"/>
            <w:noWrap w:val="0"/>
            <w:vAlign w:val="top"/>
          </w:tcPr>
          <w:p w14:paraId="38C79D0B">
            <w:pPr>
              <w:jc w:val="left"/>
              <w:rPr>
                <w:rFonts w:hint="eastAsia" w:ascii="宋体" w:hAnsi="宋体" w:cs="宋体"/>
                <w:color w:val="auto"/>
                <w:sz w:val="24"/>
              </w:rPr>
            </w:pPr>
          </w:p>
        </w:tc>
        <w:tc>
          <w:tcPr>
            <w:tcW w:w="990" w:type="dxa"/>
            <w:noWrap w:val="0"/>
            <w:vAlign w:val="top"/>
          </w:tcPr>
          <w:p w14:paraId="68B51D49">
            <w:pPr>
              <w:jc w:val="left"/>
              <w:rPr>
                <w:rFonts w:hint="eastAsia" w:ascii="宋体" w:hAnsi="宋体" w:cs="宋体"/>
                <w:color w:val="auto"/>
                <w:sz w:val="24"/>
              </w:rPr>
            </w:pPr>
          </w:p>
        </w:tc>
        <w:tc>
          <w:tcPr>
            <w:tcW w:w="973" w:type="dxa"/>
            <w:noWrap w:val="0"/>
            <w:vAlign w:val="top"/>
          </w:tcPr>
          <w:p w14:paraId="4BFEA96F">
            <w:pPr>
              <w:jc w:val="left"/>
              <w:rPr>
                <w:rFonts w:hint="eastAsia" w:ascii="宋体" w:hAnsi="宋体" w:cs="宋体"/>
                <w:color w:val="auto"/>
                <w:sz w:val="24"/>
              </w:rPr>
            </w:pPr>
          </w:p>
        </w:tc>
      </w:tr>
      <w:tr w14:paraId="0765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noWrap w:val="0"/>
            <w:vAlign w:val="top"/>
          </w:tcPr>
          <w:p w14:paraId="7101554C">
            <w:pPr>
              <w:jc w:val="center"/>
              <w:rPr>
                <w:rFonts w:hint="eastAsia" w:ascii="宋体" w:hAnsi="宋体" w:cs="宋体"/>
                <w:color w:val="auto"/>
                <w:sz w:val="24"/>
              </w:rPr>
            </w:pPr>
            <w:r>
              <w:rPr>
                <w:rFonts w:hint="eastAsia" w:ascii="宋体" w:hAnsi="宋体" w:cs="宋体"/>
                <w:color w:val="auto"/>
                <w:sz w:val="24"/>
              </w:rPr>
              <w:t>2</w:t>
            </w:r>
          </w:p>
        </w:tc>
        <w:tc>
          <w:tcPr>
            <w:tcW w:w="3231" w:type="dxa"/>
            <w:noWrap w:val="0"/>
            <w:vAlign w:val="top"/>
          </w:tcPr>
          <w:p w14:paraId="6A02FABB">
            <w:pPr>
              <w:jc w:val="left"/>
              <w:rPr>
                <w:rFonts w:hint="eastAsia" w:ascii="宋体" w:hAnsi="宋体" w:cs="宋体"/>
                <w:color w:val="auto"/>
                <w:sz w:val="24"/>
              </w:rPr>
            </w:pPr>
          </w:p>
        </w:tc>
        <w:tc>
          <w:tcPr>
            <w:tcW w:w="1050" w:type="dxa"/>
            <w:noWrap w:val="0"/>
            <w:vAlign w:val="top"/>
          </w:tcPr>
          <w:p w14:paraId="57445EA0">
            <w:pPr>
              <w:jc w:val="left"/>
              <w:rPr>
                <w:rFonts w:hint="eastAsia" w:ascii="宋体" w:hAnsi="宋体" w:cs="宋体"/>
                <w:color w:val="auto"/>
                <w:sz w:val="24"/>
              </w:rPr>
            </w:pPr>
          </w:p>
        </w:tc>
        <w:tc>
          <w:tcPr>
            <w:tcW w:w="1545" w:type="dxa"/>
            <w:noWrap w:val="0"/>
            <w:vAlign w:val="top"/>
          </w:tcPr>
          <w:p w14:paraId="4F0C227D">
            <w:pPr>
              <w:jc w:val="left"/>
              <w:rPr>
                <w:rFonts w:hint="eastAsia" w:ascii="宋体" w:hAnsi="宋体" w:cs="宋体"/>
                <w:color w:val="auto"/>
                <w:sz w:val="24"/>
              </w:rPr>
            </w:pPr>
          </w:p>
        </w:tc>
        <w:tc>
          <w:tcPr>
            <w:tcW w:w="990" w:type="dxa"/>
            <w:noWrap w:val="0"/>
            <w:vAlign w:val="top"/>
          </w:tcPr>
          <w:p w14:paraId="4C27EA9C">
            <w:pPr>
              <w:jc w:val="left"/>
              <w:rPr>
                <w:rFonts w:hint="eastAsia" w:ascii="宋体" w:hAnsi="宋体" w:cs="宋体"/>
                <w:color w:val="auto"/>
                <w:sz w:val="24"/>
              </w:rPr>
            </w:pPr>
          </w:p>
        </w:tc>
        <w:tc>
          <w:tcPr>
            <w:tcW w:w="973" w:type="dxa"/>
            <w:noWrap w:val="0"/>
            <w:vAlign w:val="top"/>
          </w:tcPr>
          <w:p w14:paraId="4504508B">
            <w:pPr>
              <w:jc w:val="left"/>
              <w:rPr>
                <w:rFonts w:hint="eastAsia" w:ascii="宋体" w:hAnsi="宋体" w:cs="宋体"/>
                <w:color w:val="auto"/>
                <w:sz w:val="24"/>
              </w:rPr>
            </w:pPr>
          </w:p>
        </w:tc>
      </w:tr>
      <w:tr w14:paraId="27CB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noWrap w:val="0"/>
            <w:vAlign w:val="top"/>
          </w:tcPr>
          <w:p w14:paraId="00421CCB">
            <w:pPr>
              <w:jc w:val="center"/>
              <w:rPr>
                <w:rFonts w:hint="eastAsia" w:ascii="宋体" w:hAnsi="宋体" w:cs="宋体"/>
                <w:color w:val="auto"/>
                <w:sz w:val="24"/>
              </w:rPr>
            </w:pPr>
            <w:r>
              <w:rPr>
                <w:rFonts w:hint="eastAsia" w:ascii="宋体" w:hAnsi="宋体" w:cs="宋体"/>
                <w:color w:val="auto"/>
                <w:sz w:val="24"/>
              </w:rPr>
              <w:t>3</w:t>
            </w:r>
          </w:p>
        </w:tc>
        <w:tc>
          <w:tcPr>
            <w:tcW w:w="3231" w:type="dxa"/>
            <w:noWrap w:val="0"/>
            <w:vAlign w:val="top"/>
          </w:tcPr>
          <w:p w14:paraId="14F8C18E">
            <w:pPr>
              <w:jc w:val="left"/>
              <w:rPr>
                <w:rFonts w:hint="eastAsia" w:ascii="宋体" w:hAnsi="宋体" w:cs="宋体"/>
                <w:color w:val="auto"/>
                <w:sz w:val="24"/>
              </w:rPr>
            </w:pPr>
          </w:p>
        </w:tc>
        <w:tc>
          <w:tcPr>
            <w:tcW w:w="1050" w:type="dxa"/>
            <w:noWrap w:val="0"/>
            <w:vAlign w:val="top"/>
          </w:tcPr>
          <w:p w14:paraId="038EEF02">
            <w:pPr>
              <w:jc w:val="left"/>
              <w:rPr>
                <w:rFonts w:hint="eastAsia" w:ascii="宋体" w:hAnsi="宋体" w:cs="宋体"/>
                <w:color w:val="auto"/>
                <w:sz w:val="24"/>
              </w:rPr>
            </w:pPr>
          </w:p>
        </w:tc>
        <w:tc>
          <w:tcPr>
            <w:tcW w:w="1545" w:type="dxa"/>
            <w:noWrap w:val="0"/>
            <w:vAlign w:val="top"/>
          </w:tcPr>
          <w:p w14:paraId="230F86DB">
            <w:pPr>
              <w:jc w:val="left"/>
              <w:rPr>
                <w:rFonts w:hint="eastAsia" w:ascii="宋体" w:hAnsi="宋体" w:cs="宋体"/>
                <w:color w:val="auto"/>
                <w:sz w:val="24"/>
              </w:rPr>
            </w:pPr>
          </w:p>
        </w:tc>
        <w:tc>
          <w:tcPr>
            <w:tcW w:w="990" w:type="dxa"/>
            <w:noWrap w:val="0"/>
            <w:vAlign w:val="top"/>
          </w:tcPr>
          <w:p w14:paraId="06F287E2">
            <w:pPr>
              <w:jc w:val="left"/>
              <w:rPr>
                <w:rFonts w:hint="eastAsia" w:ascii="宋体" w:hAnsi="宋体" w:cs="宋体"/>
                <w:color w:val="auto"/>
                <w:sz w:val="24"/>
              </w:rPr>
            </w:pPr>
          </w:p>
        </w:tc>
        <w:tc>
          <w:tcPr>
            <w:tcW w:w="973" w:type="dxa"/>
            <w:noWrap w:val="0"/>
            <w:vAlign w:val="top"/>
          </w:tcPr>
          <w:p w14:paraId="039F1901">
            <w:pPr>
              <w:jc w:val="left"/>
              <w:rPr>
                <w:rFonts w:hint="eastAsia" w:ascii="宋体" w:hAnsi="宋体" w:cs="宋体"/>
                <w:color w:val="auto"/>
                <w:sz w:val="24"/>
              </w:rPr>
            </w:pPr>
          </w:p>
        </w:tc>
      </w:tr>
      <w:tr w14:paraId="1AA3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noWrap w:val="0"/>
            <w:vAlign w:val="top"/>
          </w:tcPr>
          <w:p w14:paraId="08193BEA">
            <w:pPr>
              <w:jc w:val="center"/>
              <w:rPr>
                <w:rFonts w:hint="eastAsia" w:ascii="宋体" w:hAnsi="宋体" w:cs="宋体"/>
                <w:color w:val="auto"/>
                <w:sz w:val="24"/>
              </w:rPr>
            </w:pPr>
            <w:r>
              <w:rPr>
                <w:rFonts w:hint="eastAsia" w:ascii="宋体" w:hAnsi="宋体" w:cs="宋体"/>
                <w:color w:val="auto"/>
                <w:sz w:val="24"/>
              </w:rPr>
              <w:t>4</w:t>
            </w:r>
          </w:p>
        </w:tc>
        <w:tc>
          <w:tcPr>
            <w:tcW w:w="3231" w:type="dxa"/>
            <w:noWrap w:val="0"/>
            <w:vAlign w:val="top"/>
          </w:tcPr>
          <w:p w14:paraId="1FF4E3C2">
            <w:pPr>
              <w:jc w:val="left"/>
              <w:rPr>
                <w:rFonts w:hint="eastAsia" w:ascii="宋体" w:hAnsi="宋体" w:cs="宋体"/>
                <w:color w:val="auto"/>
                <w:sz w:val="24"/>
              </w:rPr>
            </w:pPr>
          </w:p>
        </w:tc>
        <w:tc>
          <w:tcPr>
            <w:tcW w:w="1050" w:type="dxa"/>
            <w:noWrap w:val="0"/>
            <w:vAlign w:val="top"/>
          </w:tcPr>
          <w:p w14:paraId="0F61C424">
            <w:pPr>
              <w:jc w:val="left"/>
              <w:rPr>
                <w:rFonts w:hint="eastAsia" w:ascii="宋体" w:hAnsi="宋体" w:cs="宋体"/>
                <w:color w:val="auto"/>
                <w:sz w:val="24"/>
              </w:rPr>
            </w:pPr>
          </w:p>
        </w:tc>
        <w:tc>
          <w:tcPr>
            <w:tcW w:w="1545" w:type="dxa"/>
            <w:noWrap w:val="0"/>
            <w:vAlign w:val="top"/>
          </w:tcPr>
          <w:p w14:paraId="5823E923">
            <w:pPr>
              <w:jc w:val="left"/>
              <w:rPr>
                <w:rFonts w:hint="eastAsia" w:ascii="宋体" w:hAnsi="宋体" w:cs="宋体"/>
                <w:color w:val="auto"/>
                <w:sz w:val="24"/>
              </w:rPr>
            </w:pPr>
          </w:p>
        </w:tc>
        <w:tc>
          <w:tcPr>
            <w:tcW w:w="990" w:type="dxa"/>
            <w:noWrap w:val="0"/>
            <w:vAlign w:val="top"/>
          </w:tcPr>
          <w:p w14:paraId="502CFD8C">
            <w:pPr>
              <w:jc w:val="left"/>
              <w:rPr>
                <w:rFonts w:hint="eastAsia" w:ascii="宋体" w:hAnsi="宋体" w:cs="宋体"/>
                <w:color w:val="auto"/>
                <w:sz w:val="24"/>
              </w:rPr>
            </w:pPr>
          </w:p>
        </w:tc>
        <w:tc>
          <w:tcPr>
            <w:tcW w:w="973" w:type="dxa"/>
            <w:noWrap w:val="0"/>
            <w:vAlign w:val="top"/>
          </w:tcPr>
          <w:p w14:paraId="7AFFDDCA">
            <w:pPr>
              <w:jc w:val="left"/>
              <w:rPr>
                <w:rFonts w:hint="eastAsia" w:ascii="宋体" w:hAnsi="宋体" w:cs="宋体"/>
                <w:color w:val="auto"/>
                <w:sz w:val="24"/>
              </w:rPr>
            </w:pPr>
          </w:p>
        </w:tc>
      </w:tr>
      <w:tr w14:paraId="5C8E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noWrap w:val="0"/>
            <w:vAlign w:val="top"/>
          </w:tcPr>
          <w:p w14:paraId="2B5D90A6">
            <w:pPr>
              <w:jc w:val="center"/>
              <w:rPr>
                <w:rFonts w:hint="eastAsia" w:ascii="宋体" w:hAnsi="宋体" w:cs="宋体"/>
                <w:color w:val="auto"/>
                <w:sz w:val="24"/>
              </w:rPr>
            </w:pPr>
            <w:r>
              <w:rPr>
                <w:rFonts w:hint="eastAsia" w:ascii="宋体" w:hAnsi="宋体" w:cs="宋体"/>
                <w:color w:val="auto"/>
                <w:sz w:val="24"/>
              </w:rPr>
              <w:t>5</w:t>
            </w:r>
          </w:p>
        </w:tc>
        <w:tc>
          <w:tcPr>
            <w:tcW w:w="3231" w:type="dxa"/>
            <w:noWrap w:val="0"/>
            <w:vAlign w:val="top"/>
          </w:tcPr>
          <w:p w14:paraId="5338EE85">
            <w:pPr>
              <w:jc w:val="left"/>
              <w:rPr>
                <w:rFonts w:hint="eastAsia" w:ascii="宋体" w:hAnsi="宋体" w:cs="宋体"/>
                <w:color w:val="auto"/>
                <w:sz w:val="24"/>
              </w:rPr>
            </w:pPr>
          </w:p>
        </w:tc>
        <w:tc>
          <w:tcPr>
            <w:tcW w:w="1050" w:type="dxa"/>
            <w:noWrap w:val="0"/>
            <w:vAlign w:val="top"/>
          </w:tcPr>
          <w:p w14:paraId="5A57A8B4">
            <w:pPr>
              <w:jc w:val="left"/>
              <w:rPr>
                <w:rFonts w:hint="eastAsia" w:ascii="宋体" w:hAnsi="宋体" w:cs="宋体"/>
                <w:color w:val="auto"/>
                <w:sz w:val="24"/>
              </w:rPr>
            </w:pPr>
          </w:p>
        </w:tc>
        <w:tc>
          <w:tcPr>
            <w:tcW w:w="1545" w:type="dxa"/>
            <w:noWrap w:val="0"/>
            <w:vAlign w:val="top"/>
          </w:tcPr>
          <w:p w14:paraId="614D9431">
            <w:pPr>
              <w:jc w:val="left"/>
              <w:rPr>
                <w:rFonts w:hint="eastAsia" w:ascii="宋体" w:hAnsi="宋体" w:cs="宋体"/>
                <w:color w:val="auto"/>
                <w:sz w:val="24"/>
              </w:rPr>
            </w:pPr>
          </w:p>
        </w:tc>
        <w:tc>
          <w:tcPr>
            <w:tcW w:w="990" w:type="dxa"/>
            <w:noWrap w:val="0"/>
            <w:vAlign w:val="top"/>
          </w:tcPr>
          <w:p w14:paraId="3D56C52C">
            <w:pPr>
              <w:jc w:val="left"/>
              <w:rPr>
                <w:rFonts w:hint="eastAsia" w:ascii="宋体" w:hAnsi="宋体" w:cs="宋体"/>
                <w:color w:val="auto"/>
                <w:sz w:val="24"/>
              </w:rPr>
            </w:pPr>
          </w:p>
        </w:tc>
        <w:tc>
          <w:tcPr>
            <w:tcW w:w="973" w:type="dxa"/>
            <w:noWrap w:val="0"/>
            <w:vAlign w:val="top"/>
          </w:tcPr>
          <w:p w14:paraId="5D730018">
            <w:pPr>
              <w:jc w:val="left"/>
              <w:rPr>
                <w:rFonts w:hint="eastAsia" w:ascii="宋体" w:hAnsi="宋体" w:cs="宋体"/>
                <w:color w:val="auto"/>
                <w:sz w:val="24"/>
              </w:rPr>
            </w:pPr>
          </w:p>
        </w:tc>
      </w:tr>
      <w:tr w14:paraId="3172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noWrap w:val="0"/>
            <w:vAlign w:val="top"/>
          </w:tcPr>
          <w:p w14:paraId="7D6B71FC">
            <w:pPr>
              <w:jc w:val="center"/>
              <w:rPr>
                <w:rFonts w:hint="eastAsia" w:ascii="宋体" w:hAnsi="宋体" w:cs="宋体"/>
                <w:color w:val="auto"/>
                <w:sz w:val="24"/>
              </w:rPr>
            </w:pPr>
            <w:r>
              <w:rPr>
                <w:rFonts w:hint="eastAsia" w:ascii="宋体" w:hAnsi="宋体" w:cs="宋体"/>
                <w:color w:val="auto"/>
                <w:sz w:val="24"/>
              </w:rPr>
              <w:t>6</w:t>
            </w:r>
          </w:p>
        </w:tc>
        <w:tc>
          <w:tcPr>
            <w:tcW w:w="3231" w:type="dxa"/>
            <w:noWrap w:val="0"/>
            <w:vAlign w:val="top"/>
          </w:tcPr>
          <w:p w14:paraId="328C0E80">
            <w:pPr>
              <w:jc w:val="left"/>
              <w:rPr>
                <w:rFonts w:hint="eastAsia" w:ascii="宋体" w:hAnsi="宋体" w:cs="宋体"/>
                <w:color w:val="auto"/>
                <w:sz w:val="24"/>
              </w:rPr>
            </w:pPr>
          </w:p>
        </w:tc>
        <w:tc>
          <w:tcPr>
            <w:tcW w:w="1050" w:type="dxa"/>
            <w:noWrap w:val="0"/>
            <w:vAlign w:val="top"/>
          </w:tcPr>
          <w:p w14:paraId="4F2B142D">
            <w:pPr>
              <w:jc w:val="left"/>
              <w:rPr>
                <w:rFonts w:hint="eastAsia" w:ascii="宋体" w:hAnsi="宋体" w:cs="宋体"/>
                <w:color w:val="auto"/>
                <w:sz w:val="24"/>
              </w:rPr>
            </w:pPr>
          </w:p>
        </w:tc>
        <w:tc>
          <w:tcPr>
            <w:tcW w:w="1545" w:type="dxa"/>
            <w:noWrap w:val="0"/>
            <w:vAlign w:val="top"/>
          </w:tcPr>
          <w:p w14:paraId="7D093C52">
            <w:pPr>
              <w:jc w:val="left"/>
              <w:rPr>
                <w:rFonts w:hint="eastAsia" w:ascii="宋体" w:hAnsi="宋体" w:cs="宋体"/>
                <w:color w:val="auto"/>
                <w:sz w:val="24"/>
              </w:rPr>
            </w:pPr>
          </w:p>
        </w:tc>
        <w:tc>
          <w:tcPr>
            <w:tcW w:w="990" w:type="dxa"/>
            <w:noWrap w:val="0"/>
            <w:vAlign w:val="top"/>
          </w:tcPr>
          <w:p w14:paraId="6022E21C">
            <w:pPr>
              <w:jc w:val="left"/>
              <w:rPr>
                <w:rFonts w:hint="eastAsia" w:ascii="宋体" w:hAnsi="宋体" w:cs="宋体"/>
                <w:color w:val="auto"/>
                <w:sz w:val="24"/>
              </w:rPr>
            </w:pPr>
          </w:p>
        </w:tc>
        <w:tc>
          <w:tcPr>
            <w:tcW w:w="973" w:type="dxa"/>
            <w:noWrap w:val="0"/>
            <w:vAlign w:val="top"/>
          </w:tcPr>
          <w:p w14:paraId="60A0D445">
            <w:pPr>
              <w:jc w:val="left"/>
              <w:rPr>
                <w:rFonts w:hint="eastAsia" w:ascii="宋体" w:hAnsi="宋体" w:cs="宋体"/>
                <w:color w:val="auto"/>
                <w:sz w:val="24"/>
              </w:rPr>
            </w:pPr>
          </w:p>
        </w:tc>
      </w:tr>
      <w:tr w14:paraId="5D4C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noWrap w:val="0"/>
            <w:vAlign w:val="top"/>
          </w:tcPr>
          <w:p w14:paraId="0C270D4F">
            <w:pPr>
              <w:jc w:val="center"/>
              <w:rPr>
                <w:rFonts w:hint="eastAsia" w:ascii="宋体" w:hAnsi="宋体" w:cs="宋体"/>
                <w:color w:val="auto"/>
                <w:sz w:val="24"/>
              </w:rPr>
            </w:pPr>
            <w:r>
              <w:rPr>
                <w:rFonts w:hint="eastAsia" w:ascii="宋体" w:hAnsi="宋体" w:cs="宋体"/>
                <w:color w:val="auto"/>
                <w:sz w:val="24"/>
              </w:rPr>
              <w:t>7</w:t>
            </w:r>
          </w:p>
        </w:tc>
        <w:tc>
          <w:tcPr>
            <w:tcW w:w="3231" w:type="dxa"/>
            <w:noWrap w:val="0"/>
            <w:vAlign w:val="top"/>
          </w:tcPr>
          <w:p w14:paraId="1D4EC229">
            <w:pPr>
              <w:jc w:val="left"/>
              <w:rPr>
                <w:rFonts w:hint="eastAsia" w:ascii="宋体" w:hAnsi="宋体" w:cs="宋体"/>
                <w:color w:val="auto"/>
                <w:sz w:val="24"/>
              </w:rPr>
            </w:pPr>
          </w:p>
        </w:tc>
        <w:tc>
          <w:tcPr>
            <w:tcW w:w="1050" w:type="dxa"/>
            <w:noWrap w:val="0"/>
            <w:vAlign w:val="top"/>
          </w:tcPr>
          <w:p w14:paraId="6EA43BE5">
            <w:pPr>
              <w:jc w:val="left"/>
              <w:rPr>
                <w:rFonts w:hint="eastAsia" w:ascii="宋体" w:hAnsi="宋体" w:cs="宋体"/>
                <w:color w:val="auto"/>
                <w:sz w:val="24"/>
              </w:rPr>
            </w:pPr>
          </w:p>
        </w:tc>
        <w:tc>
          <w:tcPr>
            <w:tcW w:w="1545" w:type="dxa"/>
            <w:noWrap w:val="0"/>
            <w:vAlign w:val="top"/>
          </w:tcPr>
          <w:p w14:paraId="6B72E277">
            <w:pPr>
              <w:jc w:val="left"/>
              <w:rPr>
                <w:rFonts w:hint="eastAsia" w:ascii="宋体" w:hAnsi="宋体" w:cs="宋体"/>
                <w:color w:val="auto"/>
                <w:sz w:val="24"/>
              </w:rPr>
            </w:pPr>
          </w:p>
        </w:tc>
        <w:tc>
          <w:tcPr>
            <w:tcW w:w="990" w:type="dxa"/>
            <w:noWrap w:val="0"/>
            <w:vAlign w:val="top"/>
          </w:tcPr>
          <w:p w14:paraId="2225F6BD">
            <w:pPr>
              <w:jc w:val="left"/>
              <w:rPr>
                <w:rFonts w:hint="eastAsia" w:ascii="宋体" w:hAnsi="宋体" w:cs="宋体"/>
                <w:color w:val="auto"/>
                <w:sz w:val="24"/>
              </w:rPr>
            </w:pPr>
          </w:p>
        </w:tc>
        <w:tc>
          <w:tcPr>
            <w:tcW w:w="973" w:type="dxa"/>
            <w:noWrap w:val="0"/>
            <w:vAlign w:val="top"/>
          </w:tcPr>
          <w:p w14:paraId="4BFE9386">
            <w:pPr>
              <w:jc w:val="left"/>
              <w:rPr>
                <w:rFonts w:hint="eastAsia" w:ascii="宋体" w:hAnsi="宋体" w:cs="宋体"/>
                <w:color w:val="auto"/>
                <w:sz w:val="24"/>
              </w:rPr>
            </w:pPr>
          </w:p>
        </w:tc>
      </w:tr>
      <w:tr w14:paraId="5A56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noWrap w:val="0"/>
            <w:vAlign w:val="top"/>
          </w:tcPr>
          <w:p w14:paraId="53EF75FE">
            <w:pPr>
              <w:jc w:val="center"/>
              <w:rPr>
                <w:rFonts w:hint="eastAsia" w:ascii="宋体" w:hAnsi="宋体" w:cs="宋体"/>
                <w:color w:val="auto"/>
                <w:sz w:val="24"/>
              </w:rPr>
            </w:pPr>
            <w:r>
              <w:rPr>
                <w:rFonts w:hint="eastAsia" w:ascii="宋体" w:hAnsi="宋体" w:cs="宋体"/>
                <w:color w:val="auto"/>
                <w:sz w:val="24"/>
              </w:rPr>
              <w:t>8</w:t>
            </w:r>
          </w:p>
        </w:tc>
        <w:tc>
          <w:tcPr>
            <w:tcW w:w="3231" w:type="dxa"/>
            <w:noWrap w:val="0"/>
            <w:vAlign w:val="top"/>
          </w:tcPr>
          <w:p w14:paraId="19007197">
            <w:pPr>
              <w:jc w:val="left"/>
              <w:rPr>
                <w:rFonts w:hint="eastAsia" w:ascii="宋体" w:hAnsi="宋体" w:cs="宋体"/>
                <w:color w:val="auto"/>
                <w:sz w:val="24"/>
              </w:rPr>
            </w:pPr>
          </w:p>
        </w:tc>
        <w:tc>
          <w:tcPr>
            <w:tcW w:w="1050" w:type="dxa"/>
            <w:noWrap w:val="0"/>
            <w:vAlign w:val="top"/>
          </w:tcPr>
          <w:p w14:paraId="43A49ED9">
            <w:pPr>
              <w:jc w:val="left"/>
              <w:rPr>
                <w:rFonts w:hint="eastAsia" w:ascii="宋体" w:hAnsi="宋体" w:cs="宋体"/>
                <w:color w:val="auto"/>
                <w:sz w:val="24"/>
              </w:rPr>
            </w:pPr>
          </w:p>
        </w:tc>
        <w:tc>
          <w:tcPr>
            <w:tcW w:w="1545" w:type="dxa"/>
            <w:noWrap w:val="0"/>
            <w:vAlign w:val="top"/>
          </w:tcPr>
          <w:p w14:paraId="709911E2">
            <w:pPr>
              <w:jc w:val="left"/>
              <w:rPr>
                <w:rFonts w:hint="eastAsia" w:ascii="宋体" w:hAnsi="宋体" w:cs="宋体"/>
                <w:color w:val="auto"/>
                <w:sz w:val="24"/>
              </w:rPr>
            </w:pPr>
          </w:p>
        </w:tc>
        <w:tc>
          <w:tcPr>
            <w:tcW w:w="990" w:type="dxa"/>
            <w:noWrap w:val="0"/>
            <w:vAlign w:val="top"/>
          </w:tcPr>
          <w:p w14:paraId="6207045A">
            <w:pPr>
              <w:jc w:val="left"/>
              <w:rPr>
                <w:rFonts w:hint="eastAsia" w:ascii="宋体" w:hAnsi="宋体" w:cs="宋体"/>
                <w:color w:val="auto"/>
                <w:sz w:val="24"/>
              </w:rPr>
            </w:pPr>
          </w:p>
        </w:tc>
        <w:tc>
          <w:tcPr>
            <w:tcW w:w="973" w:type="dxa"/>
            <w:noWrap w:val="0"/>
            <w:vAlign w:val="top"/>
          </w:tcPr>
          <w:p w14:paraId="44601538">
            <w:pPr>
              <w:jc w:val="left"/>
              <w:rPr>
                <w:rFonts w:hint="eastAsia" w:ascii="宋体" w:hAnsi="宋体" w:cs="宋体"/>
                <w:color w:val="auto"/>
                <w:sz w:val="24"/>
              </w:rPr>
            </w:pPr>
          </w:p>
        </w:tc>
      </w:tr>
      <w:tr w14:paraId="6CEF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noWrap w:val="0"/>
            <w:vAlign w:val="top"/>
          </w:tcPr>
          <w:p w14:paraId="0CF3CA2C">
            <w:pPr>
              <w:jc w:val="center"/>
              <w:rPr>
                <w:rFonts w:hint="eastAsia" w:ascii="宋体" w:hAnsi="宋体" w:cs="宋体"/>
                <w:color w:val="auto"/>
                <w:sz w:val="24"/>
              </w:rPr>
            </w:pPr>
            <w:r>
              <w:rPr>
                <w:rFonts w:hint="eastAsia" w:ascii="宋体" w:hAnsi="宋体" w:cs="宋体"/>
                <w:color w:val="auto"/>
                <w:sz w:val="24"/>
              </w:rPr>
              <w:t>9</w:t>
            </w:r>
          </w:p>
        </w:tc>
        <w:tc>
          <w:tcPr>
            <w:tcW w:w="3231" w:type="dxa"/>
            <w:noWrap w:val="0"/>
            <w:vAlign w:val="top"/>
          </w:tcPr>
          <w:p w14:paraId="2E94CBF0">
            <w:pPr>
              <w:jc w:val="left"/>
              <w:rPr>
                <w:rFonts w:hint="eastAsia" w:ascii="宋体" w:hAnsi="宋体" w:cs="宋体"/>
                <w:color w:val="auto"/>
                <w:sz w:val="24"/>
              </w:rPr>
            </w:pPr>
          </w:p>
        </w:tc>
        <w:tc>
          <w:tcPr>
            <w:tcW w:w="1050" w:type="dxa"/>
            <w:noWrap w:val="0"/>
            <w:vAlign w:val="top"/>
          </w:tcPr>
          <w:p w14:paraId="0E07F211">
            <w:pPr>
              <w:jc w:val="left"/>
              <w:rPr>
                <w:rFonts w:hint="eastAsia" w:ascii="宋体" w:hAnsi="宋体" w:cs="宋体"/>
                <w:color w:val="auto"/>
                <w:sz w:val="24"/>
              </w:rPr>
            </w:pPr>
          </w:p>
        </w:tc>
        <w:tc>
          <w:tcPr>
            <w:tcW w:w="1545" w:type="dxa"/>
            <w:noWrap w:val="0"/>
            <w:vAlign w:val="top"/>
          </w:tcPr>
          <w:p w14:paraId="65F5444A">
            <w:pPr>
              <w:jc w:val="left"/>
              <w:rPr>
                <w:rFonts w:hint="eastAsia" w:ascii="宋体" w:hAnsi="宋体" w:cs="宋体"/>
                <w:color w:val="auto"/>
                <w:sz w:val="24"/>
              </w:rPr>
            </w:pPr>
          </w:p>
        </w:tc>
        <w:tc>
          <w:tcPr>
            <w:tcW w:w="990" w:type="dxa"/>
            <w:noWrap w:val="0"/>
            <w:vAlign w:val="top"/>
          </w:tcPr>
          <w:p w14:paraId="40BD643F">
            <w:pPr>
              <w:jc w:val="left"/>
              <w:rPr>
                <w:rFonts w:hint="eastAsia" w:ascii="宋体" w:hAnsi="宋体" w:cs="宋体"/>
                <w:color w:val="auto"/>
                <w:sz w:val="24"/>
              </w:rPr>
            </w:pPr>
          </w:p>
        </w:tc>
        <w:tc>
          <w:tcPr>
            <w:tcW w:w="973" w:type="dxa"/>
            <w:noWrap w:val="0"/>
            <w:vAlign w:val="top"/>
          </w:tcPr>
          <w:p w14:paraId="71815609">
            <w:pPr>
              <w:jc w:val="left"/>
              <w:rPr>
                <w:rFonts w:hint="eastAsia" w:ascii="宋体" w:hAnsi="宋体" w:cs="宋体"/>
                <w:color w:val="auto"/>
                <w:sz w:val="24"/>
              </w:rPr>
            </w:pPr>
          </w:p>
        </w:tc>
      </w:tr>
      <w:tr w14:paraId="0A06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noWrap w:val="0"/>
            <w:vAlign w:val="top"/>
          </w:tcPr>
          <w:p w14:paraId="69714808">
            <w:pPr>
              <w:jc w:val="center"/>
              <w:rPr>
                <w:rFonts w:hint="eastAsia" w:ascii="宋体" w:hAnsi="宋体" w:cs="宋体"/>
                <w:color w:val="auto"/>
                <w:sz w:val="24"/>
              </w:rPr>
            </w:pPr>
            <w:r>
              <w:rPr>
                <w:rFonts w:hint="eastAsia" w:ascii="宋体" w:hAnsi="宋体" w:cs="宋体"/>
                <w:color w:val="auto"/>
                <w:sz w:val="24"/>
              </w:rPr>
              <w:t>1</w:t>
            </w:r>
            <w:r>
              <w:rPr>
                <w:rFonts w:ascii="宋体" w:hAnsi="宋体" w:cs="宋体"/>
                <w:color w:val="auto"/>
                <w:sz w:val="24"/>
              </w:rPr>
              <w:t>0</w:t>
            </w:r>
          </w:p>
        </w:tc>
        <w:tc>
          <w:tcPr>
            <w:tcW w:w="3231" w:type="dxa"/>
            <w:noWrap w:val="0"/>
            <w:vAlign w:val="top"/>
          </w:tcPr>
          <w:p w14:paraId="3E0B8DA5">
            <w:pPr>
              <w:jc w:val="left"/>
              <w:rPr>
                <w:rFonts w:hint="eastAsia" w:ascii="宋体" w:hAnsi="宋体" w:cs="宋体"/>
                <w:color w:val="auto"/>
                <w:sz w:val="24"/>
              </w:rPr>
            </w:pPr>
          </w:p>
        </w:tc>
        <w:tc>
          <w:tcPr>
            <w:tcW w:w="1050" w:type="dxa"/>
            <w:noWrap w:val="0"/>
            <w:vAlign w:val="top"/>
          </w:tcPr>
          <w:p w14:paraId="51D5B7F3">
            <w:pPr>
              <w:jc w:val="left"/>
              <w:rPr>
                <w:rFonts w:hint="eastAsia" w:ascii="宋体" w:hAnsi="宋体" w:cs="宋体"/>
                <w:color w:val="auto"/>
                <w:sz w:val="24"/>
              </w:rPr>
            </w:pPr>
          </w:p>
        </w:tc>
        <w:tc>
          <w:tcPr>
            <w:tcW w:w="1545" w:type="dxa"/>
            <w:noWrap w:val="0"/>
            <w:vAlign w:val="top"/>
          </w:tcPr>
          <w:p w14:paraId="25943889">
            <w:pPr>
              <w:jc w:val="left"/>
              <w:rPr>
                <w:rFonts w:hint="eastAsia" w:ascii="宋体" w:hAnsi="宋体" w:cs="宋体"/>
                <w:color w:val="auto"/>
                <w:sz w:val="24"/>
              </w:rPr>
            </w:pPr>
          </w:p>
        </w:tc>
        <w:tc>
          <w:tcPr>
            <w:tcW w:w="990" w:type="dxa"/>
            <w:noWrap w:val="0"/>
            <w:vAlign w:val="top"/>
          </w:tcPr>
          <w:p w14:paraId="6D3386BA">
            <w:pPr>
              <w:jc w:val="left"/>
              <w:rPr>
                <w:rFonts w:hint="eastAsia" w:ascii="宋体" w:hAnsi="宋体" w:cs="宋体"/>
                <w:color w:val="auto"/>
                <w:sz w:val="24"/>
              </w:rPr>
            </w:pPr>
          </w:p>
        </w:tc>
        <w:tc>
          <w:tcPr>
            <w:tcW w:w="973" w:type="dxa"/>
            <w:noWrap w:val="0"/>
            <w:vAlign w:val="top"/>
          </w:tcPr>
          <w:p w14:paraId="4628BEAA">
            <w:pPr>
              <w:jc w:val="left"/>
              <w:rPr>
                <w:rFonts w:hint="eastAsia" w:ascii="宋体" w:hAnsi="宋体" w:cs="宋体"/>
                <w:color w:val="auto"/>
                <w:sz w:val="24"/>
              </w:rPr>
            </w:pPr>
          </w:p>
        </w:tc>
      </w:tr>
      <w:tr w14:paraId="23A0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noWrap w:val="0"/>
            <w:vAlign w:val="top"/>
          </w:tcPr>
          <w:p w14:paraId="18C75CB5">
            <w:pPr>
              <w:jc w:val="center"/>
              <w:rPr>
                <w:rFonts w:hint="eastAsia" w:ascii="宋体" w:hAnsi="宋体" w:cs="宋体"/>
                <w:color w:val="auto"/>
                <w:sz w:val="24"/>
              </w:rPr>
            </w:pPr>
            <w:r>
              <w:rPr>
                <w:rFonts w:hint="eastAsia" w:ascii="宋体" w:hAnsi="宋体" w:cs="宋体"/>
                <w:color w:val="auto"/>
                <w:sz w:val="24"/>
              </w:rPr>
              <w:t>1</w:t>
            </w:r>
            <w:r>
              <w:rPr>
                <w:rFonts w:ascii="宋体" w:hAnsi="宋体" w:cs="宋体"/>
                <w:color w:val="auto"/>
                <w:sz w:val="24"/>
              </w:rPr>
              <w:t>1</w:t>
            </w:r>
          </w:p>
        </w:tc>
        <w:tc>
          <w:tcPr>
            <w:tcW w:w="3231" w:type="dxa"/>
            <w:noWrap w:val="0"/>
            <w:vAlign w:val="top"/>
          </w:tcPr>
          <w:p w14:paraId="04C15B62">
            <w:pPr>
              <w:jc w:val="left"/>
              <w:rPr>
                <w:rFonts w:hint="eastAsia" w:ascii="宋体" w:hAnsi="宋体" w:cs="宋体"/>
                <w:color w:val="auto"/>
                <w:sz w:val="24"/>
              </w:rPr>
            </w:pPr>
          </w:p>
        </w:tc>
        <w:tc>
          <w:tcPr>
            <w:tcW w:w="1050" w:type="dxa"/>
            <w:noWrap w:val="0"/>
            <w:vAlign w:val="top"/>
          </w:tcPr>
          <w:p w14:paraId="27AF4C7F">
            <w:pPr>
              <w:jc w:val="left"/>
              <w:rPr>
                <w:rFonts w:hint="eastAsia" w:ascii="宋体" w:hAnsi="宋体" w:cs="宋体"/>
                <w:color w:val="auto"/>
                <w:sz w:val="24"/>
              </w:rPr>
            </w:pPr>
          </w:p>
        </w:tc>
        <w:tc>
          <w:tcPr>
            <w:tcW w:w="1545" w:type="dxa"/>
            <w:noWrap w:val="0"/>
            <w:vAlign w:val="top"/>
          </w:tcPr>
          <w:p w14:paraId="6B914543">
            <w:pPr>
              <w:jc w:val="left"/>
              <w:rPr>
                <w:rFonts w:hint="eastAsia" w:ascii="宋体" w:hAnsi="宋体" w:cs="宋体"/>
                <w:color w:val="auto"/>
                <w:sz w:val="24"/>
              </w:rPr>
            </w:pPr>
          </w:p>
        </w:tc>
        <w:tc>
          <w:tcPr>
            <w:tcW w:w="990" w:type="dxa"/>
            <w:noWrap w:val="0"/>
            <w:vAlign w:val="top"/>
          </w:tcPr>
          <w:p w14:paraId="3DF7425D">
            <w:pPr>
              <w:jc w:val="left"/>
              <w:rPr>
                <w:rFonts w:hint="eastAsia" w:ascii="宋体" w:hAnsi="宋体" w:cs="宋体"/>
                <w:color w:val="auto"/>
                <w:sz w:val="24"/>
              </w:rPr>
            </w:pPr>
          </w:p>
        </w:tc>
        <w:tc>
          <w:tcPr>
            <w:tcW w:w="973" w:type="dxa"/>
            <w:noWrap w:val="0"/>
            <w:vAlign w:val="top"/>
          </w:tcPr>
          <w:p w14:paraId="56AA8B84">
            <w:pPr>
              <w:jc w:val="left"/>
              <w:rPr>
                <w:rFonts w:hint="eastAsia" w:ascii="宋体" w:hAnsi="宋体" w:cs="宋体"/>
                <w:color w:val="auto"/>
                <w:sz w:val="24"/>
              </w:rPr>
            </w:pPr>
          </w:p>
        </w:tc>
      </w:tr>
      <w:tr w14:paraId="3055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noWrap w:val="0"/>
            <w:vAlign w:val="top"/>
          </w:tcPr>
          <w:p w14:paraId="4DB906C1">
            <w:pPr>
              <w:jc w:val="center"/>
              <w:rPr>
                <w:rFonts w:hint="eastAsia" w:ascii="宋体" w:hAnsi="宋体" w:cs="宋体"/>
                <w:color w:val="auto"/>
                <w:sz w:val="24"/>
              </w:rPr>
            </w:pPr>
            <w:r>
              <w:rPr>
                <w:rFonts w:hint="eastAsia" w:ascii="宋体" w:hAnsi="宋体" w:cs="宋体"/>
                <w:color w:val="auto"/>
                <w:sz w:val="24"/>
              </w:rPr>
              <w:t>1</w:t>
            </w:r>
            <w:r>
              <w:rPr>
                <w:rFonts w:ascii="宋体" w:hAnsi="宋体" w:cs="宋体"/>
                <w:color w:val="auto"/>
                <w:sz w:val="24"/>
              </w:rPr>
              <w:t>2</w:t>
            </w:r>
          </w:p>
        </w:tc>
        <w:tc>
          <w:tcPr>
            <w:tcW w:w="3231" w:type="dxa"/>
            <w:noWrap w:val="0"/>
            <w:vAlign w:val="top"/>
          </w:tcPr>
          <w:p w14:paraId="3903C268">
            <w:pPr>
              <w:jc w:val="left"/>
              <w:rPr>
                <w:rFonts w:hint="eastAsia" w:ascii="宋体" w:hAnsi="宋体" w:cs="宋体"/>
                <w:color w:val="auto"/>
                <w:sz w:val="24"/>
              </w:rPr>
            </w:pPr>
          </w:p>
        </w:tc>
        <w:tc>
          <w:tcPr>
            <w:tcW w:w="1050" w:type="dxa"/>
            <w:noWrap w:val="0"/>
            <w:vAlign w:val="top"/>
          </w:tcPr>
          <w:p w14:paraId="503761E3">
            <w:pPr>
              <w:jc w:val="left"/>
              <w:rPr>
                <w:rFonts w:hint="eastAsia" w:ascii="宋体" w:hAnsi="宋体" w:cs="宋体"/>
                <w:color w:val="auto"/>
                <w:sz w:val="24"/>
              </w:rPr>
            </w:pPr>
          </w:p>
        </w:tc>
        <w:tc>
          <w:tcPr>
            <w:tcW w:w="1545" w:type="dxa"/>
            <w:noWrap w:val="0"/>
            <w:vAlign w:val="top"/>
          </w:tcPr>
          <w:p w14:paraId="75A31B23">
            <w:pPr>
              <w:jc w:val="left"/>
              <w:rPr>
                <w:rFonts w:hint="eastAsia" w:ascii="宋体" w:hAnsi="宋体" w:cs="宋体"/>
                <w:color w:val="auto"/>
                <w:sz w:val="24"/>
              </w:rPr>
            </w:pPr>
          </w:p>
        </w:tc>
        <w:tc>
          <w:tcPr>
            <w:tcW w:w="990" w:type="dxa"/>
            <w:noWrap w:val="0"/>
            <w:vAlign w:val="top"/>
          </w:tcPr>
          <w:p w14:paraId="06715796">
            <w:pPr>
              <w:jc w:val="left"/>
              <w:rPr>
                <w:rFonts w:hint="eastAsia" w:ascii="宋体" w:hAnsi="宋体" w:cs="宋体"/>
                <w:color w:val="auto"/>
                <w:sz w:val="24"/>
              </w:rPr>
            </w:pPr>
          </w:p>
        </w:tc>
        <w:tc>
          <w:tcPr>
            <w:tcW w:w="973" w:type="dxa"/>
            <w:noWrap w:val="0"/>
            <w:vAlign w:val="top"/>
          </w:tcPr>
          <w:p w14:paraId="664F735C">
            <w:pPr>
              <w:jc w:val="left"/>
              <w:rPr>
                <w:rFonts w:hint="eastAsia" w:ascii="宋体" w:hAnsi="宋体" w:cs="宋体"/>
                <w:color w:val="auto"/>
                <w:sz w:val="24"/>
              </w:rPr>
            </w:pPr>
          </w:p>
        </w:tc>
      </w:tr>
      <w:tr w14:paraId="1CF1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noWrap w:val="0"/>
            <w:vAlign w:val="top"/>
          </w:tcPr>
          <w:p w14:paraId="36B7DC93">
            <w:pPr>
              <w:jc w:val="center"/>
              <w:rPr>
                <w:rFonts w:hint="eastAsia" w:ascii="宋体" w:hAnsi="宋体" w:cs="宋体"/>
                <w:color w:val="auto"/>
                <w:sz w:val="24"/>
              </w:rPr>
            </w:pPr>
            <w:r>
              <w:rPr>
                <w:rFonts w:hint="eastAsia" w:ascii="宋体" w:hAnsi="宋体" w:cs="宋体"/>
                <w:color w:val="auto"/>
                <w:sz w:val="24"/>
              </w:rPr>
              <w:t>1</w:t>
            </w:r>
            <w:r>
              <w:rPr>
                <w:rFonts w:ascii="宋体" w:hAnsi="宋体" w:cs="宋体"/>
                <w:color w:val="auto"/>
                <w:sz w:val="24"/>
              </w:rPr>
              <w:t>3</w:t>
            </w:r>
          </w:p>
        </w:tc>
        <w:tc>
          <w:tcPr>
            <w:tcW w:w="3231" w:type="dxa"/>
            <w:noWrap w:val="0"/>
            <w:vAlign w:val="top"/>
          </w:tcPr>
          <w:p w14:paraId="6B9A768A">
            <w:pPr>
              <w:jc w:val="left"/>
              <w:rPr>
                <w:rFonts w:hint="eastAsia" w:ascii="宋体" w:hAnsi="宋体" w:cs="宋体"/>
                <w:color w:val="auto"/>
                <w:sz w:val="24"/>
              </w:rPr>
            </w:pPr>
          </w:p>
        </w:tc>
        <w:tc>
          <w:tcPr>
            <w:tcW w:w="1050" w:type="dxa"/>
            <w:noWrap w:val="0"/>
            <w:vAlign w:val="top"/>
          </w:tcPr>
          <w:p w14:paraId="69BFE56D">
            <w:pPr>
              <w:jc w:val="left"/>
              <w:rPr>
                <w:rFonts w:hint="eastAsia" w:ascii="宋体" w:hAnsi="宋体" w:cs="宋体"/>
                <w:color w:val="auto"/>
                <w:sz w:val="24"/>
              </w:rPr>
            </w:pPr>
          </w:p>
        </w:tc>
        <w:tc>
          <w:tcPr>
            <w:tcW w:w="1545" w:type="dxa"/>
            <w:noWrap w:val="0"/>
            <w:vAlign w:val="top"/>
          </w:tcPr>
          <w:p w14:paraId="47418F4E">
            <w:pPr>
              <w:jc w:val="left"/>
              <w:rPr>
                <w:rFonts w:hint="eastAsia" w:ascii="宋体" w:hAnsi="宋体" w:cs="宋体"/>
                <w:color w:val="auto"/>
                <w:sz w:val="24"/>
              </w:rPr>
            </w:pPr>
          </w:p>
        </w:tc>
        <w:tc>
          <w:tcPr>
            <w:tcW w:w="990" w:type="dxa"/>
            <w:noWrap w:val="0"/>
            <w:vAlign w:val="top"/>
          </w:tcPr>
          <w:p w14:paraId="7CE59CDD">
            <w:pPr>
              <w:jc w:val="left"/>
              <w:rPr>
                <w:rFonts w:hint="eastAsia" w:ascii="宋体" w:hAnsi="宋体" w:cs="宋体"/>
                <w:color w:val="auto"/>
                <w:sz w:val="24"/>
              </w:rPr>
            </w:pPr>
          </w:p>
        </w:tc>
        <w:tc>
          <w:tcPr>
            <w:tcW w:w="973" w:type="dxa"/>
            <w:noWrap w:val="0"/>
            <w:vAlign w:val="top"/>
          </w:tcPr>
          <w:p w14:paraId="76FD79FD">
            <w:pPr>
              <w:jc w:val="left"/>
              <w:rPr>
                <w:rFonts w:hint="eastAsia" w:ascii="宋体" w:hAnsi="宋体" w:cs="宋体"/>
                <w:color w:val="auto"/>
                <w:sz w:val="24"/>
              </w:rPr>
            </w:pPr>
          </w:p>
        </w:tc>
      </w:tr>
      <w:tr w14:paraId="21DC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noWrap w:val="0"/>
            <w:vAlign w:val="top"/>
          </w:tcPr>
          <w:p w14:paraId="2BDE4865">
            <w:pPr>
              <w:jc w:val="center"/>
              <w:rPr>
                <w:rFonts w:hint="eastAsia" w:ascii="宋体" w:hAnsi="宋体" w:cs="宋体"/>
                <w:color w:val="auto"/>
                <w:sz w:val="24"/>
              </w:rPr>
            </w:pPr>
            <w:r>
              <w:rPr>
                <w:rFonts w:hint="eastAsia" w:ascii="宋体" w:hAnsi="宋体" w:cs="宋体"/>
                <w:color w:val="auto"/>
                <w:sz w:val="24"/>
              </w:rPr>
              <w:t>1</w:t>
            </w:r>
            <w:r>
              <w:rPr>
                <w:rFonts w:ascii="宋体" w:hAnsi="宋体" w:cs="宋体"/>
                <w:color w:val="auto"/>
                <w:sz w:val="24"/>
              </w:rPr>
              <w:t>4</w:t>
            </w:r>
          </w:p>
        </w:tc>
        <w:tc>
          <w:tcPr>
            <w:tcW w:w="3231" w:type="dxa"/>
            <w:noWrap w:val="0"/>
            <w:vAlign w:val="top"/>
          </w:tcPr>
          <w:p w14:paraId="284D4FDF">
            <w:pPr>
              <w:jc w:val="left"/>
              <w:rPr>
                <w:rFonts w:hint="eastAsia" w:ascii="宋体" w:hAnsi="宋体" w:cs="宋体"/>
                <w:color w:val="auto"/>
                <w:sz w:val="24"/>
              </w:rPr>
            </w:pPr>
          </w:p>
        </w:tc>
        <w:tc>
          <w:tcPr>
            <w:tcW w:w="1050" w:type="dxa"/>
            <w:noWrap w:val="0"/>
            <w:vAlign w:val="top"/>
          </w:tcPr>
          <w:p w14:paraId="6215761E">
            <w:pPr>
              <w:jc w:val="left"/>
              <w:rPr>
                <w:rFonts w:hint="eastAsia" w:ascii="宋体" w:hAnsi="宋体" w:cs="宋体"/>
                <w:color w:val="auto"/>
                <w:sz w:val="24"/>
              </w:rPr>
            </w:pPr>
          </w:p>
        </w:tc>
        <w:tc>
          <w:tcPr>
            <w:tcW w:w="1545" w:type="dxa"/>
            <w:noWrap w:val="0"/>
            <w:vAlign w:val="top"/>
          </w:tcPr>
          <w:p w14:paraId="5400FEFA">
            <w:pPr>
              <w:jc w:val="left"/>
              <w:rPr>
                <w:rFonts w:hint="eastAsia" w:ascii="宋体" w:hAnsi="宋体" w:cs="宋体"/>
                <w:color w:val="auto"/>
                <w:sz w:val="24"/>
              </w:rPr>
            </w:pPr>
          </w:p>
        </w:tc>
        <w:tc>
          <w:tcPr>
            <w:tcW w:w="990" w:type="dxa"/>
            <w:noWrap w:val="0"/>
            <w:vAlign w:val="top"/>
          </w:tcPr>
          <w:p w14:paraId="39331FD5">
            <w:pPr>
              <w:jc w:val="left"/>
              <w:rPr>
                <w:rFonts w:hint="eastAsia" w:ascii="宋体" w:hAnsi="宋体" w:cs="宋体"/>
                <w:color w:val="auto"/>
                <w:sz w:val="24"/>
              </w:rPr>
            </w:pPr>
          </w:p>
        </w:tc>
        <w:tc>
          <w:tcPr>
            <w:tcW w:w="973" w:type="dxa"/>
            <w:noWrap w:val="0"/>
            <w:vAlign w:val="top"/>
          </w:tcPr>
          <w:p w14:paraId="0974AF48">
            <w:pPr>
              <w:jc w:val="left"/>
              <w:rPr>
                <w:rFonts w:hint="eastAsia" w:ascii="宋体" w:hAnsi="宋体" w:cs="宋体"/>
                <w:color w:val="auto"/>
                <w:sz w:val="24"/>
              </w:rPr>
            </w:pPr>
          </w:p>
        </w:tc>
      </w:tr>
    </w:tbl>
    <w:p w14:paraId="3C5EF06D">
      <w:pPr>
        <w:jc w:val="left"/>
        <w:rPr>
          <w:rFonts w:hint="eastAsia" w:ascii="黑体" w:hAnsi="黑体" w:eastAsia="黑体" w:cs="黑体"/>
          <w:color w:val="auto"/>
          <w:sz w:val="24"/>
        </w:rPr>
      </w:pPr>
    </w:p>
    <w:p w14:paraId="041A0793">
      <w:pPr>
        <w:jc w:val="left"/>
        <w:rPr>
          <w:rFonts w:hint="eastAsia" w:ascii="黑体" w:hAnsi="黑体" w:eastAsia="黑体" w:cs="黑体"/>
          <w:color w:val="auto"/>
          <w:sz w:val="24"/>
        </w:rPr>
      </w:pPr>
    </w:p>
    <w:p w14:paraId="54170C24">
      <w:pPr>
        <w:jc w:val="left"/>
        <w:rPr>
          <w:rFonts w:ascii="黑体" w:hAnsi="黑体" w:eastAsia="黑体" w:cs="黑体"/>
          <w:color w:val="auto"/>
          <w:sz w:val="24"/>
        </w:rPr>
      </w:pPr>
      <w:r>
        <w:rPr>
          <w:rFonts w:hint="eastAsia" w:ascii="黑体" w:hAnsi="黑体" w:eastAsia="黑体" w:cs="黑体"/>
          <w:color w:val="auto"/>
          <w:sz w:val="24"/>
          <w:lang w:val="en-US" w:eastAsia="zh-CN"/>
        </w:rPr>
        <w:t>评</w:t>
      </w:r>
      <w:r>
        <w:rPr>
          <w:rFonts w:hint="eastAsia" w:ascii="黑体" w:hAnsi="黑体" w:eastAsia="黑体" w:cs="黑体"/>
          <w:color w:val="auto"/>
          <w:sz w:val="24"/>
          <w:lang w:eastAsia="zh-CN"/>
        </w:rPr>
        <w:t>委</w:t>
      </w:r>
      <w:r>
        <w:rPr>
          <w:rFonts w:hint="eastAsia" w:ascii="黑体" w:hAnsi="黑体" w:eastAsia="黑体" w:cs="黑体"/>
          <w:color w:val="auto"/>
          <w:sz w:val="24"/>
        </w:rPr>
        <w:t>成员签字：</w:t>
      </w:r>
    </w:p>
    <w:p w14:paraId="1E23857F">
      <w:pPr>
        <w:jc w:val="left"/>
        <w:rPr>
          <w:rFonts w:ascii="黑体" w:hAnsi="黑体" w:eastAsia="黑体" w:cs="黑体"/>
          <w:color w:val="auto"/>
          <w:sz w:val="24"/>
        </w:rPr>
        <w:sectPr>
          <w:pgSz w:w="11906" w:h="16838"/>
          <w:pgMar w:top="1440" w:right="1800" w:bottom="1440" w:left="1800" w:header="851" w:footer="992" w:gutter="0"/>
          <w:pgNumType w:fmt="decimal"/>
          <w:cols w:space="720" w:num="1"/>
          <w:docGrid w:type="lines" w:linePitch="312" w:charSpace="0"/>
        </w:sectPr>
      </w:pPr>
    </w:p>
    <w:p w14:paraId="3AB2FF56">
      <w:pPr>
        <w:pStyle w:val="3"/>
        <w:keepNext/>
        <w:keepLines/>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heme="minorEastAsia" w:hAnsiTheme="minorEastAsia" w:cstheme="minorEastAsia"/>
          <w:color w:val="auto"/>
          <w:kern w:val="0"/>
          <w:sz w:val="28"/>
          <w:szCs w:val="28"/>
          <w:highlight w:val="none"/>
        </w:rPr>
      </w:pPr>
      <w:bookmarkStart w:id="15" w:name="_Toc23185"/>
      <w:r>
        <w:rPr>
          <w:rFonts w:hint="eastAsia" w:ascii="Times New Roman" w:hAnsi="Times New Roman"/>
          <w:color w:val="auto"/>
          <w:sz w:val="36"/>
          <w:szCs w:val="36"/>
          <w:lang w:val="en-US" w:eastAsia="zh-CN"/>
        </w:rPr>
        <w:t>体育部</w:t>
      </w:r>
      <w:r>
        <w:rPr>
          <w:rFonts w:hint="eastAsia" w:ascii="Times New Roman" w:hAnsi="Times New Roman"/>
          <w:color w:val="auto"/>
          <w:sz w:val="36"/>
          <w:szCs w:val="36"/>
        </w:rPr>
        <w:t>青年教师培养</w:t>
      </w:r>
      <w:r>
        <w:rPr>
          <w:rFonts w:hint="eastAsia" w:ascii="Times New Roman" w:hAnsi="Times New Roman"/>
          <w:color w:val="auto"/>
          <w:sz w:val="36"/>
          <w:szCs w:val="36"/>
          <w:lang w:val="en-US" w:eastAsia="zh-CN"/>
        </w:rPr>
        <w:t>实施细则</w:t>
      </w:r>
      <w:bookmarkEnd w:id="15"/>
    </w:p>
    <w:p w14:paraId="1C9D27B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为加强体育部教师队伍建设，提高青年教师综合素质，促进青年教师尽快成为思想过硬、业务精良的教育教学和教学管理能手，特制订本细则。</w:t>
      </w:r>
    </w:p>
    <w:p w14:paraId="6CC2A6DD">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一、培养目标</w:t>
      </w:r>
    </w:p>
    <w:p w14:paraId="6B06E63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帮助青年教师在政治思想素质、业务水平、工作能力等方面均能尽快适应教学需要，培养其优良的职业道德和敬业爱岗精神，在较短时间内熟悉学校各项教学管理规章制度，自觉规范教学行为，熟悉各教学环节，掌握教学规律，具备教学基本技能，能独立、较好地完成教学任务，逐渐成为教学骨干或教学带头人。</w:t>
      </w:r>
    </w:p>
    <w:p w14:paraId="4BE85C26">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二、培养对象</w:t>
      </w:r>
    </w:p>
    <w:p w14:paraId="2111007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新分配到体育部，教龄在5年（含5年）以下的教师；职称为初级或高校教师未聘的教师：</w:t>
      </w:r>
    </w:p>
    <w:p w14:paraId="6255682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专任教师岗位新进的教师；</w:t>
      </w:r>
    </w:p>
    <w:p w14:paraId="1F8457D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其他岗位转至专任教师岗的教师；</w:t>
      </w:r>
    </w:p>
    <w:p w14:paraId="36BC4E4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其他岗位兼课的教师；</w:t>
      </w:r>
    </w:p>
    <w:p w14:paraId="01418BF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根据教绩考核及其他实际情况，需要进行培养的教师。</w:t>
      </w:r>
    </w:p>
    <w:p w14:paraId="70CFF4B7">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三、培养时间</w:t>
      </w:r>
    </w:p>
    <w:p w14:paraId="738587E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青年教师接受培养的时间原则上为1学年。</w:t>
      </w:r>
    </w:p>
    <w:p w14:paraId="48DB6A3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四、导师选聘原则与职责</w:t>
      </w:r>
    </w:p>
    <w:p w14:paraId="3622F67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青年教师培养工作实施导师制度，指导教师选拔实行教研室推荐与导师自愿相结合，导师每学年指导培养对象不超过2人，由体育部审批、备案。</w:t>
      </w:r>
    </w:p>
    <w:p w14:paraId="7312D47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（一）导师选聘原则</w:t>
      </w:r>
    </w:p>
    <w:p w14:paraId="4E9FC8C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师德高尚、爱岗敬业、治学严谨、教学经验丰富、教学水平较高；</w:t>
      </w:r>
    </w:p>
    <w:p w14:paraId="43A3169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具有副高及以上职称，身体健康；</w:t>
      </w:r>
    </w:p>
    <w:p w14:paraId="6013E40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优先从青年教师所在教研室选聘，学科专业原则上与青年教师的相同或相近；</w:t>
      </w:r>
    </w:p>
    <w:p w14:paraId="0E2D720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培养期间担任了本科生课程教学任务且教学效果良好的主讲教师；</w:t>
      </w:r>
    </w:p>
    <w:p w14:paraId="79D328D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每学年指导青年教师不超过2人。</w:t>
      </w:r>
    </w:p>
    <w:p w14:paraId="26DAE8B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（二）导师职责</w:t>
      </w:r>
    </w:p>
    <w:p w14:paraId="7D75E3A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将思想政治素质培养贯穿于指导工作全过程，加强青年教师思想品德修养，通过言传身教，对青年教师进行师德师风教育，培养青年教师爱岗敬业、严谨治学、教书育人优良品德。</w:t>
      </w:r>
    </w:p>
    <w:p w14:paraId="3EABD9B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指导青年教师教学工作全环节，通过指导编写教案或讲义、审阅教案、指导预讲、听课评议、指导参与实验、实训、实习等操作以及掌握现代教育技术等各方面，全方位培养青年教师的教学内容处理、教学方法和手段运用、教学组织和评价以及语言表达和沟通交往等能力。</w:t>
      </w:r>
    </w:p>
    <w:p w14:paraId="3CDF500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指导青年教师开展教学改革和科学研究，参加专业建设、课程建设、教学团队建设，通过培养，使青年教师努力钻研业务，掌握本学科发展趋势和前沿信息，有严谨治学态度和缜密科研方法，注重团结协作，教学科研相结合，从根本上提高学术水平。</w:t>
      </w:r>
    </w:p>
    <w:p w14:paraId="7DDC87ED">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五、青年教师职责</w:t>
      </w:r>
    </w:p>
    <w:p w14:paraId="55CF886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青年教师应树立正确认识，把培养过程看作是对自己成才的历练，是难得的机会，虚心接受导师指导，勤学苦练。</w:t>
      </w:r>
    </w:p>
    <w:p w14:paraId="1A5AB18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每学期跟班听导师或其他教学经验丰富的教师讲课10课时以上（其中导师的课不少于4课时）。</w:t>
      </w:r>
    </w:p>
    <w:p w14:paraId="5EC5382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在导师指导下备课和编写教案，每月至少有2课时的教案送交导师指教。</w:t>
      </w:r>
    </w:p>
    <w:p w14:paraId="398DB62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每学期撰写教学心得或教学工作总结1篇。</w:t>
      </w:r>
    </w:p>
    <w:p w14:paraId="264B014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受指导期间积极参与教研、科研活动，至少公开发表论文1篇或主持校级以上项目1项。</w:t>
      </w:r>
    </w:p>
    <w:p w14:paraId="337E0439">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六、评价检查</w:t>
      </w:r>
    </w:p>
    <w:p w14:paraId="00B54A0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体育部成立评价检查小组，对青年教师的政治思想、教学能力、科研能力培养进行定期和随机的跟踪检查，每学年对青年教师的培养情况给出优秀、良好、合格的评价。青年教师验收不合格者延长培养期一年，仍不合格者，则不能继续担任课程主讲教师，不得晋升高一级专业技术职务；因导师原因导致青年教师验收不合格的，经体育部审议，取消导师资格。</w:t>
      </w:r>
    </w:p>
    <w:p w14:paraId="3A30AA6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检查项目包括：</w:t>
      </w:r>
    </w:p>
    <w:p w14:paraId="534D3EE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lang w:val="en-US" w:eastAsia="zh-CN"/>
        </w:rPr>
        <w:t>1.</w:t>
      </w:r>
      <w:r>
        <w:rPr>
          <w:rFonts w:hint="eastAsia" w:asciiTheme="minorEastAsia" w:hAnsiTheme="minorEastAsia" w:cstheme="minorEastAsia"/>
          <w:color w:val="auto"/>
          <w:kern w:val="0"/>
          <w:sz w:val="28"/>
          <w:szCs w:val="28"/>
          <w:highlight w:val="none"/>
        </w:rPr>
        <w:t>听课；</w:t>
      </w:r>
    </w:p>
    <w:p w14:paraId="7C5DBD5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lang w:val="en-US" w:eastAsia="zh-CN"/>
        </w:rPr>
        <w:t>2.</w:t>
      </w:r>
      <w:r>
        <w:rPr>
          <w:rFonts w:hint="eastAsia" w:asciiTheme="minorEastAsia" w:hAnsiTheme="minorEastAsia" w:cstheme="minorEastAsia"/>
          <w:color w:val="auto"/>
          <w:kern w:val="0"/>
          <w:sz w:val="28"/>
          <w:szCs w:val="28"/>
          <w:highlight w:val="none"/>
        </w:rPr>
        <w:t>检查指导教案；</w:t>
      </w:r>
    </w:p>
    <w:p w14:paraId="22893A4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lang w:val="en-US" w:eastAsia="zh-CN"/>
        </w:rPr>
        <w:t>3.</w:t>
      </w:r>
      <w:r>
        <w:rPr>
          <w:rFonts w:hint="eastAsia" w:asciiTheme="minorEastAsia" w:hAnsiTheme="minorEastAsia" w:cstheme="minorEastAsia"/>
          <w:color w:val="auto"/>
          <w:kern w:val="0"/>
          <w:sz w:val="28"/>
          <w:szCs w:val="28"/>
          <w:highlight w:val="none"/>
        </w:rPr>
        <w:t>检查每周指导的原始记录；</w:t>
      </w:r>
    </w:p>
    <w:p w14:paraId="3680182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lang w:val="en-US" w:eastAsia="zh-CN"/>
        </w:rPr>
        <w:t>4.</w:t>
      </w:r>
      <w:r>
        <w:rPr>
          <w:rFonts w:hint="eastAsia" w:asciiTheme="minorEastAsia" w:hAnsiTheme="minorEastAsia" w:cstheme="minorEastAsia"/>
          <w:color w:val="auto"/>
          <w:kern w:val="0"/>
          <w:sz w:val="28"/>
          <w:szCs w:val="28"/>
          <w:highlight w:val="none"/>
        </w:rPr>
        <w:t>指导教师评语；</w:t>
      </w:r>
    </w:p>
    <w:p w14:paraId="2DCD411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lang w:val="en-US" w:eastAsia="zh-CN"/>
        </w:rPr>
        <w:t>5.</w:t>
      </w:r>
      <w:r>
        <w:rPr>
          <w:rFonts w:hint="eastAsia" w:asciiTheme="minorEastAsia" w:hAnsiTheme="minorEastAsia" w:cstheme="minorEastAsia"/>
          <w:color w:val="auto"/>
          <w:kern w:val="0"/>
          <w:sz w:val="28"/>
          <w:szCs w:val="28"/>
          <w:highlight w:val="none"/>
        </w:rPr>
        <w:t>教育教学与科研论文；</w:t>
      </w:r>
    </w:p>
    <w:p w14:paraId="2EFCA2A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lang w:val="en-US" w:eastAsia="zh-CN"/>
        </w:rPr>
        <w:t>6.</w:t>
      </w:r>
      <w:r>
        <w:rPr>
          <w:rFonts w:hint="eastAsia" w:asciiTheme="minorEastAsia" w:hAnsiTheme="minorEastAsia" w:cstheme="minorEastAsia"/>
          <w:color w:val="auto"/>
          <w:kern w:val="0"/>
          <w:sz w:val="28"/>
          <w:szCs w:val="28"/>
          <w:highlight w:val="none"/>
        </w:rPr>
        <w:t>电子课件。</w:t>
      </w:r>
    </w:p>
    <w:p w14:paraId="066E9166">
      <w:pPr>
        <w:snapToGrid w:val="0"/>
        <w:spacing w:line="440" w:lineRule="exact"/>
        <w:jc w:val="left"/>
        <w:rPr>
          <w:rFonts w:hint="eastAsia" w:asciiTheme="minorEastAsia" w:hAnsiTheme="minorEastAsia" w:cstheme="minorEastAsia"/>
          <w:color w:val="auto"/>
          <w:kern w:val="0"/>
          <w:sz w:val="28"/>
          <w:szCs w:val="28"/>
          <w:highlight w:val="none"/>
        </w:rPr>
      </w:pPr>
    </w:p>
    <w:p w14:paraId="6F2C0E9A">
      <w:pPr>
        <w:spacing w:line="440" w:lineRule="exact"/>
        <w:ind w:firstLine="5040" w:firstLineChars="1800"/>
        <w:rPr>
          <w:rFonts w:hint="eastAsia" w:asciiTheme="minorEastAsia" w:hAnsiTheme="minorEastAsia"/>
          <w:color w:val="auto"/>
          <w:sz w:val="28"/>
          <w:szCs w:val="28"/>
        </w:rPr>
      </w:pP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stheme="minorEastAsia"/>
          <w:color w:val="auto"/>
          <w:kern w:val="0"/>
          <w:sz w:val="28"/>
          <w:szCs w:val="28"/>
          <w:highlight w:val="none"/>
        </w:rPr>
        <w:t xml:space="preserve"> </w:t>
      </w: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olor w:val="auto"/>
          <w:sz w:val="28"/>
          <w:szCs w:val="28"/>
        </w:rPr>
        <w:t>体育部</w:t>
      </w:r>
    </w:p>
    <w:p w14:paraId="2FB0CD69">
      <w:pPr>
        <w:snapToGrid w:val="0"/>
        <w:spacing w:line="440" w:lineRule="exact"/>
        <w:ind w:firstLine="560" w:firstLineChars="200"/>
        <w:jc w:val="right"/>
        <w:rPr>
          <w:rFonts w:hint="eastAsia" w:ascii="宋体" w:hAnsi="宋体" w:eastAsia="宋体" w:cs="宋体"/>
          <w:color w:val="auto"/>
          <w:sz w:val="28"/>
          <w:szCs w:val="28"/>
          <w:highlight w:val="none"/>
        </w:rPr>
      </w:pP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 xml:space="preserve"> 年 </w:t>
      </w:r>
      <w:r>
        <w:rPr>
          <w:rFonts w:hint="eastAsia" w:ascii="Times New Roman" w:hAnsi="Times New Roman" w:eastAsia="宋体" w:cs="Times New Roman"/>
          <w:color w:val="auto"/>
          <w:sz w:val="28"/>
          <w:szCs w:val="28"/>
          <w:highlight w:val="none"/>
          <w:lang w:val="en-US" w:eastAsia="zh-CN"/>
        </w:rPr>
        <w:t>3</w:t>
      </w:r>
      <w:r>
        <w:rPr>
          <w:rFonts w:hint="eastAsia" w:ascii="宋体" w:hAnsi="宋体" w:eastAsia="宋体" w:cs="宋体"/>
          <w:color w:val="auto"/>
          <w:sz w:val="28"/>
          <w:szCs w:val="28"/>
          <w:highlight w:val="none"/>
        </w:rPr>
        <w:t>月</w:t>
      </w:r>
    </w:p>
    <w:p w14:paraId="50EB5FC3">
      <w:pPr>
        <w:snapToGrid w:val="0"/>
        <w:spacing w:line="440" w:lineRule="exact"/>
        <w:ind w:firstLine="560" w:firstLineChars="200"/>
        <w:jc w:val="right"/>
        <w:rPr>
          <w:rFonts w:hint="eastAsia" w:ascii="宋体" w:hAnsi="宋体" w:eastAsia="宋体" w:cs="宋体"/>
          <w:color w:val="auto"/>
          <w:sz w:val="28"/>
          <w:szCs w:val="28"/>
          <w:highlight w:val="none"/>
        </w:rPr>
      </w:pPr>
    </w:p>
    <w:p w14:paraId="5DAAB8B4">
      <w:pPr>
        <w:snapToGrid w:val="0"/>
        <w:spacing w:line="440" w:lineRule="exact"/>
        <w:ind w:firstLine="560" w:firstLineChars="200"/>
        <w:jc w:val="right"/>
        <w:rPr>
          <w:rFonts w:hint="eastAsia" w:ascii="宋体" w:hAnsi="宋体" w:eastAsia="宋体" w:cs="宋体"/>
          <w:color w:val="auto"/>
          <w:sz w:val="28"/>
          <w:szCs w:val="28"/>
          <w:highlight w:val="none"/>
        </w:rPr>
      </w:pPr>
    </w:p>
    <w:p w14:paraId="7480310F">
      <w:pPr>
        <w:snapToGrid w:val="0"/>
        <w:spacing w:line="440" w:lineRule="exact"/>
        <w:ind w:firstLine="560" w:firstLineChars="200"/>
        <w:jc w:val="right"/>
        <w:rPr>
          <w:rFonts w:hint="eastAsia" w:ascii="宋体" w:hAnsi="宋体" w:eastAsia="宋体" w:cs="宋体"/>
          <w:color w:val="auto"/>
          <w:sz w:val="28"/>
          <w:szCs w:val="28"/>
          <w:highlight w:val="none"/>
        </w:rPr>
      </w:pPr>
    </w:p>
    <w:p w14:paraId="420D0BB1">
      <w:pPr>
        <w:snapToGrid w:val="0"/>
        <w:spacing w:line="440" w:lineRule="exact"/>
        <w:ind w:firstLine="560" w:firstLineChars="200"/>
        <w:jc w:val="right"/>
        <w:rPr>
          <w:rFonts w:hint="eastAsia" w:ascii="宋体" w:hAnsi="宋体" w:eastAsia="宋体" w:cs="宋体"/>
          <w:color w:val="auto"/>
          <w:sz w:val="28"/>
          <w:szCs w:val="28"/>
          <w:highlight w:val="none"/>
        </w:rPr>
      </w:pPr>
    </w:p>
    <w:p w14:paraId="273170B9">
      <w:pPr>
        <w:snapToGrid w:val="0"/>
        <w:spacing w:line="440" w:lineRule="exact"/>
        <w:ind w:firstLine="560" w:firstLineChars="200"/>
        <w:jc w:val="right"/>
        <w:rPr>
          <w:rFonts w:hint="eastAsia" w:ascii="宋体" w:hAnsi="宋体" w:eastAsia="宋体" w:cs="宋体"/>
          <w:color w:val="auto"/>
          <w:sz w:val="28"/>
          <w:szCs w:val="28"/>
          <w:highlight w:val="none"/>
        </w:rPr>
      </w:pPr>
    </w:p>
    <w:p w14:paraId="64145F5F">
      <w:pPr>
        <w:snapToGrid w:val="0"/>
        <w:spacing w:line="440" w:lineRule="exact"/>
        <w:ind w:firstLine="560" w:firstLineChars="200"/>
        <w:jc w:val="right"/>
        <w:rPr>
          <w:rFonts w:hint="eastAsia" w:ascii="宋体" w:hAnsi="宋体" w:eastAsia="宋体" w:cs="宋体"/>
          <w:color w:val="auto"/>
          <w:sz w:val="28"/>
          <w:szCs w:val="28"/>
          <w:highlight w:val="none"/>
        </w:rPr>
      </w:pPr>
    </w:p>
    <w:p w14:paraId="5498F379">
      <w:pPr>
        <w:snapToGrid w:val="0"/>
        <w:spacing w:line="440" w:lineRule="exact"/>
        <w:ind w:firstLine="560" w:firstLineChars="200"/>
        <w:jc w:val="right"/>
        <w:rPr>
          <w:rFonts w:hint="eastAsia" w:ascii="宋体" w:hAnsi="宋体" w:eastAsia="宋体" w:cs="宋体"/>
          <w:color w:val="auto"/>
          <w:sz w:val="28"/>
          <w:szCs w:val="28"/>
          <w:highlight w:val="none"/>
        </w:rPr>
      </w:pPr>
    </w:p>
    <w:p w14:paraId="57D26291">
      <w:pPr>
        <w:snapToGrid w:val="0"/>
        <w:spacing w:line="440" w:lineRule="exact"/>
        <w:ind w:firstLine="560" w:firstLineChars="200"/>
        <w:jc w:val="right"/>
        <w:rPr>
          <w:rFonts w:hint="eastAsia" w:ascii="宋体" w:hAnsi="宋体" w:eastAsia="宋体" w:cs="宋体"/>
          <w:color w:val="auto"/>
          <w:sz w:val="28"/>
          <w:szCs w:val="28"/>
          <w:highlight w:val="none"/>
        </w:rPr>
      </w:pPr>
    </w:p>
    <w:p w14:paraId="2E694100">
      <w:pPr>
        <w:snapToGrid w:val="0"/>
        <w:spacing w:line="440" w:lineRule="exact"/>
        <w:ind w:firstLine="560" w:firstLineChars="200"/>
        <w:jc w:val="right"/>
        <w:rPr>
          <w:rFonts w:hint="eastAsia" w:ascii="宋体" w:hAnsi="宋体" w:eastAsia="宋体" w:cs="宋体"/>
          <w:color w:val="auto"/>
          <w:sz w:val="28"/>
          <w:szCs w:val="28"/>
          <w:highlight w:val="none"/>
        </w:rPr>
      </w:pPr>
    </w:p>
    <w:p w14:paraId="76857621">
      <w:pPr>
        <w:snapToGrid w:val="0"/>
        <w:spacing w:line="440" w:lineRule="exact"/>
        <w:ind w:firstLine="560" w:firstLineChars="200"/>
        <w:jc w:val="right"/>
        <w:rPr>
          <w:rFonts w:hint="eastAsia" w:ascii="宋体" w:hAnsi="宋体" w:eastAsia="宋体" w:cs="宋体"/>
          <w:color w:val="auto"/>
          <w:sz w:val="28"/>
          <w:szCs w:val="28"/>
          <w:highlight w:val="none"/>
        </w:rPr>
      </w:pPr>
    </w:p>
    <w:p w14:paraId="4E33D03E">
      <w:pPr>
        <w:snapToGrid w:val="0"/>
        <w:spacing w:line="440" w:lineRule="exact"/>
        <w:ind w:firstLine="560" w:firstLineChars="200"/>
        <w:jc w:val="right"/>
        <w:rPr>
          <w:rFonts w:hint="eastAsia" w:ascii="宋体" w:hAnsi="宋体" w:eastAsia="宋体" w:cs="宋体"/>
          <w:color w:val="auto"/>
          <w:sz w:val="28"/>
          <w:szCs w:val="28"/>
          <w:highlight w:val="none"/>
        </w:rPr>
      </w:pPr>
    </w:p>
    <w:p w14:paraId="14F7E3B2">
      <w:pPr>
        <w:snapToGrid w:val="0"/>
        <w:spacing w:line="440" w:lineRule="exact"/>
        <w:ind w:firstLine="560" w:firstLineChars="200"/>
        <w:jc w:val="right"/>
        <w:rPr>
          <w:rFonts w:hint="eastAsia" w:ascii="宋体" w:hAnsi="宋体" w:eastAsia="宋体" w:cs="宋体"/>
          <w:color w:val="auto"/>
          <w:sz w:val="28"/>
          <w:szCs w:val="28"/>
          <w:highlight w:val="none"/>
        </w:rPr>
      </w:pPr>
    </w:p>
    <w:p w14:paraId="429DCE08">
      <w:pPr>
        <w:snapToGrid w:val="0"/>
        <w:spacing w:line="440" w:lineRule="exact"/>
        <w:ind w:firstLine="560" w:firstLineChars="200"/>
        <w:jc w:val="right"/>
        <w:rPr>
          <w:rFonts w:hint="eastAsia" w:ascii="宋体" w:hAnsi="宋体" w:eastAsia="宋体" w:cs="宋体"/>
          <w:color w:val="auto"/>
          <w:sz w:val="28"/>
          <w:szCs w:val="28"/>
          <w:highlight w:val="none"/>
        </w:rPr>
      </w:pPr>
    </w:p>
    <w:p w14:paraId="389E4134">
      <w:pPr>
        <w:snapToGrid w:val="0"/>
        <w:spacing w:line="440" w:lineRule="exact"/>
        <w:ind w:firstLine="560" w:firstLineChars="200"/>
        <w:jc w:val="right"/>
        <w:rPr>
          <w:rFonts w:hint="eastAsia" w:ascii="宋体" w:hAnsi="宋体" w:eastAsia="宋体" w:cs="宋体"/>
          <w:color w:val="auto"/>
          <w:sz w:val="28"/>
          <w:szCs w:val="28"/>
          <w:highlight w:val="none"/>
        </w:rPr>
      </w:pPr>
    </w:p>
    <w:p w14:paraId="4CF4878C">
      <w:pPr>
        <w:snapToGrid w:val="0"/>
        <w:spacing w:line="440" w:lineRule="exact"/>
        <w:ind w:firstLine="560" w:firstLineChars="200"/>
        <w:jc w:val="right"/>
        <w:rPr>
          <w:rFonts w:hint="eastAsia" w:ascii="宋体" w:hAnsi="宋体" w:eastAsia="宋体" w:cs="宋体"/>
          <w:color w:val="auto"/>
          <w:sz w:val="28"/>
          <w:szCs w:val="28"/>
          <w:highlight w:val="none"/>
        </w:rPr>
      </w:pPr>
    </w:p>
    <w:p w14:paraId="66497BB9">
      <w:pPr>
        <w:snapToGrid w:val="0"/>
        <w:spacing w:line="440" w:lineRule="exact"/>
        <w:ind w:firstLine="560" w:firstLineChars="200"/>
        <w:jc w:val="right"/>
        <w:rPr>
          <w:rFonts w:hint="eastAsia" w:ascii="宋体" w:hAnsi="宋体" w:eastAsia="宋体" w:cs="宋体"/>
          <w:color w:val="auto"/>
          <w:sz w:val="28"/>
          <w:szCs w:val="28"/>
          <w:highlight w:val="none"/>
        </w:rPr>
      </w:pPr>
    </w:p>
    <w:p w14:paraId="7F928F4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75F99DE1">
      <w:pPr>
        <w:pStyle w:val="3"/>
        <w:keepNext/>
        <w:keepLines/>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heme="minorEastAsia" w:hAnsiTheme="minorEastAsia" w:cstheme="minorEastAsia"/>
          <w:color w:val="auto"/>
          <w:kern w:val="0"/>
          <w:sz w:val="28"/>
          <w:szCs w:val="28"/>
          <w:highlight w:val="none"/>
        </w:rPr>
      </w:pPr>
      <w:bookmarkStart w:id="16" w:name="_Toc12383"/>
      <w:r>
        <w:rPr>
          <w:rFonts w:hint="eastAsia"/>
          <w:color w:val="auto"/>
          <w:sz w:val="36"/>
          <w:szCs w:val="36"/>
          <w:lang w:val="en-US" w:eastAsia="zh-CN"/>
        </w:rPr>
        <w:t>体育部</w:t>
      </w:r>
      <w:r>
        <w:rPr>
          <w:rFonts w:hint="eastAsia"/>
          <w:color w:val="auto"/>
          <w:sz w:val="36"/>
          <w:szCs w:val="36"/>
        </w:rPr>
        <w:t>教研活动开展实施细则</w:t>
      </w:r>
      <w:bookmarkEnd w:id="16"/>
    </w:p>
    <w:p w14:paraId="29DFFC2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研活动是教育教学工作的重要组成部分，是教师探索教育教学工作规律，交流教学经验，提升教学质量，促进教育教学改革的重要途径。为保证教研活动的有效开展，提高体育部教研工作的质量和水平，全面提高教育教学质量，结合体育部工作实际，特制定本制度。</w:t>
      </w:r>
    </w:p>
    <w:p w14:paraId="6F8977DC">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一、指导思想</w:t>
      </w:r>
    </w:p>
    <w:p w14:paraId="6D3D05A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坚持以习近平新时代中国特色社会主义思想为指导，全面贯彻党的教育方针，全面落实立德树人根本任务。坚持以高质量发展为主线，把思想政治工作贯穿教育教学全过程，加快应用型人才培养，全力推进教育教学改革向纵深发展，加大教研工作力度，以提高教师的理论水平和业务能力为目的，以课堂改革为突破口，以提高教育教学质量为中心，将体育部教研工作提升到一个新水平。</w:t>
      </w:r>
    </w:p>
    <w:p w14:paraId="62E4F6B1">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二、工作目标</w:t>
      </w:r>
    </w:p>
    <w:p w14:paraId="694051A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组织学习高等教育相关重要讲话及文件精神，学习学校教学管理文件制度等。</w:t>
      </w:r>
    </w:p>
    <w:p w14:paraId="744036F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围绕学校工作目标，以大力推进课堂教学改革为契机，使全体教师不断更新理念，开拓视野，转变方法，提高能力，确立适应应用型人才的培养目标。</w:t>
      </w:r>
    </w:p>
    <w:p w14:paraId="6EC881E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以培育凝炼教学成果、推进专业建设为抓手，有针对性地开展课程建设、教材建设、实践教学和教学改革等教学研讨。组织教师对标专业评价等指标，认真研讨专业培养方案，探索实现专业培养目标的途径。</w:t>
      </w:r>
    </w:p>
    <w:p w14:paraId="75EA99D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夯实教学技能、更新教学理念、改进教学策略、创新教学方法，扎实推进教学改革，提高教师数字化教学应用能力。组织各教研室开展集体备课、研讨教学设计、相互听课评课、案例分析、考察等活动。</w:t>
      </w:r>
    </w:p>
    <w:p w14:paraId="0AB540E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综合各种教学评价、检查考核结果，组织专题研究，剖析存在问题和原因，寻求改进对策。</w:t>
      </w:r>
    </w:p>
    <w:p w14:paraId="67EE07F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认真组织开展课题研究工作，不断提高教师教科研能力。</w:t>
      </w:r>
    </w:p>
    <w:p w14:paraId="4196084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全力抓好已立项课题的研究，努力使立项课题出成果结题。</w:t>
      </w:r>
    </w:p>
    <w:p w14:paraId="3610270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开展好课程的研究活动，学习新思想，实践新理念，建设一支适应课改的新型教师队伍。</w:t>
      </w:r>
    </w:p>
    <w:p w14:paraId="304A6AD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不断探索切实可行的教研活动途径、方式、方法。</w:t>
      </w:r>
    </w:p>
    <w:p w14:paraId="136C1405">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三、方法措施</w:t>
      </w:r>
    </w:p>
    <w:p w14:paraId="47EC332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为保证教研工作的顺利开展，教研活动由体育部统一领导，体育部负责监督各教研室教研活动工作。</w:t>
      </w:r>
    </w:p>
    <w:p w14:paraId="11612D9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教研活动由教研室主任负责组织，一般以教研室为单位开展，可根据研讨内容跨教研室邀请人员参加。每学期应开展教研活动8次。</w:t>
      </w:r>
    </w:p>
    <w:p w14:paraId="2E83442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各教研室应注意做好本教研室的建设工作，营造良好的工作环境，充分利用教研室场地开展教学研讨、学生辅导等工作。</w:t>
      </w:r>
    </w:p>
    <w:p w14:paraId="4742808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各教研室可组织优秀教师上示范公开课、研讨交流，进行课堂教学改革的探讨、总结、交流，提高活动质量。</w:t>
      </w:r>
    </w:p>
    <w:p w14:paraId="1624BDE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各教研室扎实开展课题研究工作。围绕课题开展研究活动，形式不拘，做好课题的年度汇报工作，要通过不断的反思来调整课题实施计划，提高研究的实效性。鼓励教师运用先进的教学手段（数字化技术及设备），并及时地做好活动的记录工作和资料的整理工作，以便资料的归档。</w:t>
      </w:r>
    </w:p>
    <w:p w14:paraId="2C31E98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体育部教学督导组将随机对教研活动开展情况进行抽查，其结果纳入教研室评优、学校年终考核内容。各教研室要充分认识开展教研活动的重要性，充分调动教师教学积极性，切实提升教学质量。</w:t>
      </w:r>
    </w:p>
    <w:p w14:paraId="3C8F2CD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本制度从202</w:t>
      </w:r>
      <w:r>
        <w:rPr>
          <w:rFonts w:hint="eastAsia" w:asciiTheme="minorEastAsia" w:hAnsiTheme="minorEastAsia" w:cstheme="minorEastAsia"/>
          <w:color w:val="auto"/>
          <w:kern w:val="0"/>
          <w:sz w:val="28"/>
          <w:szCs w:val="28"/>
          <w:highlight w:val="none"/>
          <w:lang w:val="en-US" w:eastAsia="zh-CN"/>
        </w:rPr>
        <w:t>5</w:t>
      </w:r>
      <w:r>
        <w:rPr>
          <w:rFonts w:hint="eastAsia" w:asciiTheme="minorEastAsia" w:hAnsiTheme="minorEastAsia" w:cstheme="minorEastAsia"/>
          <w:color w:val="auto"/>
          <w:kern w:val="0"/>
          <w:sz w:val="28"/>
          <w:szCs w:val="28"/>
          <w:highlight w:val="none"/>
        </w:rPr>
        <w:t>年</w:t>
      </w:r>
      <w:r>
        <w:rPr>
          <w:rFonts w:hint="eastAsia" w:asciiTheme="minorEastAsia" w:hAnsiTheme="minorEastAsia" w:cstheme="minorEastAsia"/>
          <w:color w:val="auto"/>
          <w:kern w:val="0"/>
          <w:sz w:val="28"/>
          <w:szCs w:val="28"/>
          <w:highlight w:val="none"/>
          <w:lang w:val="en-US" w:eastAsia="zh-CN"/>
        </w:rPr>
        <w:t>3</w:t>
      </w:r>
      <w:r>
        <w:rPr>
          <w:rFonts w:hint="eastAsia" w:asciiTheme="minorEastAsia" w:hAnsiTheme="minorEastAsia" w:cstheme="minorEastAsia"/>
          <w:color w:val="auto"/>
          <w:kern w:val="0"/>
          <w:sz w:val="28"/>
          <w:szCs w:val="28"/>
          <w:highlight w:val="none"/>
        </w:rPr>
        <w:t>月16日开始实施。</w:t>
      </w:r>
    </w:p>
    <w:p w14:paraId="33819EB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1A4AFFC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7023576B">
      <w:pPr>
        <w:spacing w:line="440" w:lineRule="exact"/>
        <w:ind w:firstLine="5040" w:firstLineChars="1800"/>
        <w:rPr>
          <w:rFonts w:hint="eastAsia" w:asciiTheme="minorEastAsia" w:hAnsiTheme="minorEastAsia"/>
          <w:color w:val="auto"/>
          <w:sz w:val="28"/>
          <w:szCs w:val="28"/>
        </w:rPr>
      </w:pP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stheme="minorEastAsia"/>
          <w:color w:val="auto"/>
          <w:kern w:val="0"/>
          <w:sz w:val="28"/>
          <w:szCs w:val="28"/>
          <w:highlight w:val="none"/>
        </w:rPr>
        <w:t xml:space="preserve"> </w:t>
      </w: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olor w:val="auto"/>
          <w:sz w:val="28"/>
          <w:szCs w:val="28"/>
        </w:rPr>
        <w:t>体育部</w:t>
      </w:r>
    </w:p>
    <w:p w14:paraId="134B5C99">
      <w:pPr>
        <w:snapToGrid w:val="0"/>
        <w:spacing w:line="440" w:lineRule="exact"/>
        <w:ind w:firstLine="560" w:firstLineChars="200"/>
        <w:jc w:val="right"/>
        <w:rPr>
          <w:rFonts w:asciiTheme="minorEastAsia" w:hAnsiTheme="minorEastAsia" w:cstheme="minorEastAsia"/>
          <w:color w:val="auto"/>
          <w:sz w:val="28"/>
          <w:szCs w:val="28"/>
          <w:highlight w:val="none"/>
        </w:rPr>
      </w:pP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 xml:space="preserve"> 年 </w:t>
      </w:r>
      <w:r>
        <w:rPr>
          <w:rFonts w:hint="eastAsia" w:ascii="Times New Roman" w:hAnsi="Times New Roman" w:eastAsia="宋体" w:cs="Times New Roman"/>
          <w:color w:val="auto"/>
          <w:sz w:val="28"/>
          <w:szCs w:val="28"/>
          <w:highlight w:val="none"/>
          <w:lang w:val="en-US" w:eastAsia="zh-CN"/>
        </w:rPr>
        <w:t>3</w:t>
      </w:r>
      <w:r>
        <w:rPr>
          <w:rFonts w:hint="eastAsia" w:ascii="宋体" w:hAnsi="宋体" w:eastAsia="宋体" w:cs="宋体"/>
          <w:color w:val="auto"/>
          <w:sz w:val="28"/>
          <w:szCs w:val="28"/>
          <w:highlight w:val="none"/>
        </w:rPr>
        <w:t>月</w:t>
      </w:r>
    </w:p>
    <w:p w14:paraId="1A4A806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5F1AFD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3BC2E82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5A8A6F0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1F38BB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13C30510">
      <w:pPr>
        <w:pStyle w:val="3"/>
        <w:keepNext/>
        <w:keepLines/>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heme="minorEastAsia" w:hAnsiTheme="minorEastAsia" w:cstheme="minorEastAsia"/>
          <w:color w:val="auto"/>
          <w:kern w:val="0"/>
          <w:sz w:val="28"/>
          <w:szCs w:val="28"/>
          <w:highlight w:val="none"/>
        </w:rPr>
      </w:pPr>
      <w:bookmarkStart w:id="17" w:name="_Toc32224"/>
      <w:r>
        <w:rPr>
          <w:rFonts w:hint="eastAsia"/>
          <w:color w:val="auto"/>
          <w:sz w:val="36"/>
          <w:szCs w:val="36"/>
          <w:lang w:val="en-US" w:eastAsia="zh-CN"/>
        </w:rPr>
        <w:t>体育部</w:t>
      </w:r>
      <w:r>
        <w:rPr>
          <w:rFonts w:hint="eastAsia" w:ascii="Arial" w:hAnsi="Arial" w:eastAsia="黑体" w:cstheme="minorBidi"/>
          <w:b/>
          <w:color w:val="auto"/>
          <w:kern w:val="2"/>
          <w:sz w:val="36"/>
          <w:szCs w:val="36"/>
          <w:lang w:val="en-US" w:eastAsia="zh-CN" w:bidi="ar-SA"/>
        </w:rPr>
        <w:t>教研室主任职责</w:t>
      </w:r>
      <w:bookmarkEnd w:id="17"/>
    </w:p>
    <w:p w14:paraId="2D2F7FEB">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lang w:val="en-US" w:eastAsia="zh-CN"/>
        </w:rPr>
        <w:t>体育部</w:t>
      </w:r>
      <w:r>
        <w:rPr>
          <w:rFonts w:hint="eastAsia" w:asciiTheme="minorEastAsia" w:hAnsiTheme="minorEastAsia" w:cstheme="minorEastAsia"/>
          <w:color w:val="auto"/>
          <w:kern w:val="0"/>
          <w:sz w:val="28"/>
          <w:szCs w:val="28"/>
          <w:highlight w:val="none"/>
        </w:rPr>
        <w:t>教研室是体育部的教学管理机构，在体育部主任的直接领导下进行工作，主要处理体育、社会体育教学事务，完成学校和体育部安排的各项工作。其主要职责如下：</w:t>
      </w:r>
    </w:p>
    <w:p w14:paraId="07ADE4A5">
      <w:pPr>
        <w:keepNext w:val="0"/>
        <w:keepLines w:val="0"/>
        <w:pageBreakBefore w:val="0"/>
        <w:widowControl w:val="0"/>
        <w:numPr>
          <w:ilvl w:val="0"/>
          <w:numId w:val="1"/>
        </w:numPr>
        <w:kinsoku/>
        <w:wordWrap/>
        <w:overflowPunct/>
        <w:topLinePunct w:val="0"/>
        <w:autoSpaceDE/>
        <w:autoSpaceDN/>
        <w:bidi w:val="0"/>
        <w:adjustRightInd/>
        <w:snapToGrid w:val="0"/>
        <w:spacing w:line="44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组织教研室全体工作人员的政治、业务学习，认真学习、贯彻执行有关党的方针、政策及上级指示精神，落实各级领导所安排的工作。组织全体体育、社会体育教学相关人员提高业务水平和工作质量。检查考核教研室人员的工作情况、思想政治表现。</w:t>
      </w:r>
    </w:p>
    <w:p w14:paraId="767419C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二、负责体育</w:t>
      </w:r>
      <w:r>
        <w:rPr>
          <w:rFonts w:hint="eastAsia" w:asciiTheme="minorEastAsia" w:hAnsiTheme="minorEastAsia" w:cstheme="minorEastAsia"/>
          <w:color w:val="auto"/>
          <w:kern w:val="0"/>
          <w:sz w:val="28"/>
          <w:szCs w:val="28"/>
          <w:highlight w:val="none"/>
          <w:lang w:val="en-US" w:eastAsia="zh-CN"/>
        </w:rPr>
        <w:t>部</w:t>
      </w:r>
      <w:r>
        <w:rPr>
          <w:rFonts w:hint="eastAsia" w:asciiTheme="minorEastAsia" w:hAnsiTheme="minorEastAsia" w:cstheme="minorEastAsia"/>
          <w:color w:val="auto"/>
          <w:kern w:val="0"/>
          <w:sz w:val="28"/>
          <w:szCs w:val="28"/>
          <w:highlight w:val="none"/>
        </w:rPr>
        <w:t>的教学管理工作。按照体育教学纲要，制定和组织执行体育教学计划、拟定教学大纲、选编教材和教案审核、编制教学日历，安排教学任务，调整、完善教学计划、课堂常规、教学纪律、教学评价、学生成绩考核等相关规定和执行，做到及时、准确。</w:t>
      </w:r>
    </w:p>
    <w:p w14:paraId="14C9649E">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三、领导和组织制定科学研究计划，认真搞好体育教学科研工作，对学生状况做到心中有底，搞好体育教学调查研究，经常进行教学工作会议、研讨教学改革方法，并经常检查课题的进行情况，积极开展学术活动，发表科研论文，提高学术水平。</w:t>
      </w:r>
    </w:p>
    <w:p w14:paraId="655C1074">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四、负责本教研室的建设和管理工作。按照领导的布置，总结教学经验，制定和完善教学组织、监督检查、教学改革方法，搞好自我评估工作，迎接上级的教学检查和评估，及时向体育部领导总结报告教学相关工作。教研室工作中的重大问题，应提交教研室会议讨论。</w:t>
      </w:r>
    </w:p>
    <w:p w14:paraId="3C5AE297">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五、组织本室成员进行考核（包括思想政治、教学质量、科研成果、工作作风和工作态度等）提出奖惩及晋级建议。完成年度总结并制定下一年度的工作计划。</w:t>
      </w:r>
    </w:p>
    <w:p w14:paraId="5632EB76">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六、协助体育部领导检查体育教学任务的执行和完成情况、教师上课课时数的统计，学生成绩管理和上报工作，了解并统计科室工作任务的完成情况，有关教学资料的汇总，总结经验。</w:t>
      </w:r>
    </w:p>
    <w:p w14:paraId="362263E2">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七、完成体育部领导交办的其他工作。安排召开体育部教学、科研会议，做好会议的筹备、组织、会务和记录工作。</w:t>
      </w:r>
    </w:p>
    <w:p w14:paraId="16BA7C21">
      <w:pPr>
        <w:spacing w:line="440" w:lineRule="exact"/>
        <w:ind w:firstLine="5040" w:firstLineChars="1800"/>
        <w:rPr>
          <w:rFonts w:hint="eastAsia" w:asciiTheme="minorEastAsia" w:hAnsiTheme="minorEastAsia"/>
          <w:color w:val="auto"/>
          <w:sz w:val="28"/>
          <w:szCs w:val="28"/>
        </w:rPr>
      </w:pP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stheme="minorEastAsia"/>
          <w:color w:val="auto"/>
          <w:kern w:val="0"/>
          <w:sz w:val="28"/>
          <w:szCs w:val="28"/>
          <w:highlight w:val="none"/>
        </w:rPr>
        <w:t xml:space="preserve"> </w:t>
      </w: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olor w:val="auto"/>
          <w:sz w:val="28"/>
          <w:szCs w:val="28"/>
        </w:rPr>
        <w:t>体育部</w:t>
      </w:r>
    </w:p>
    <w:p w14:paraId="2442CD62">
      <w:pPr>
        <w:snapToGrid w:val="0"/>
        <w:spacing w:line="440" w:lineRule="exact"/>
        <w:ind w:firstLine="560" w:firstLineChars="200"/>
        <w:jc w:val="right"/>
        <w:rPr>
          <w:rFonts w:asciiTheme="minorEastAsia" w:hAnsiTheme="minorEastAsia" w:cstheme="minorEastAsia"/>
          <w:color w:val="auto"/>
          <w:sz w:val="28"/>
          <w:szCs w:val="28"/>
          <w:highlight w:val="none"/>
        </w:rPr>
      </w:pP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 xml:space="preserve">年 </w:t>
      </w:r>
      <w:r>
        <w:rPr>
          <w:rFonts w:hint="eastAsia" w:ascii="Times New Roman" w:hAnsi="Times New Roman" w:eastAsia="宋体" w:cs="Times New Roman"/>
          <w:color w:val="auto"/>
          <w:sz w:val="28"/>
          <w:szCs w:val="28"/>
          <w:highlight w:val="none"/>
          <w:lang w:val="en-US" w:eastAsia="zh-CN"/>
        </w:rPr>
        <w:t>3</w:t>
      </w:r>
      <w:r>
        <w:rPr>
          <w:rFonts w:hint="eastAsia" w:ascii="宋体" w:hAnsi="宋体" w:eastAsia="宋体" w:cs="宋体"/>
          <w:color w:val="auto"/>
          <w:sz w:val="28"/>
          <w:szCs w:val="28"/>
          <w:highlight w:val="none"/>
        </w:rPr>
        <w:t>月</w:t>
      </w:r>
    </w:p>
    <w:p w14:paraId="09B8E995">
      <w:pPr>
        <w:pStyle w:val="3"/>
        <w:keepNext/>
        <w:keepLines/>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heme="minorEastAsia" w:hAnsiTheme="minorEastAsia" w:cstheme="minorEastAsia"/>
          <w:color w:val="auto"/>
          <w:kern w:val="0"/>
          <w:sz w:val="28"/>
          <w:szCs w:val="28"/>
          <w:highlight w:val="none"/>
        </w:rPr>
      </w:pPr>
      <w:bookmarkStart w:id="18" w:name="_Toc4618"/>
      <w:r>
        <w:rPr>
          <w:rFonts w:hint="eastAsia"/>
          <w:color w:val="auto"/>
          <w:sz w:val="36"/>
          <w:szCs w:val="36"/>
          <w:lang w:val="en-US" w:eastAsia="zh-CN"/>
        </w:rPr>
        <w:t>体育部</w:t>
      </w:r>
      <w:r>
        <w:rPr>
          <w:rFonts w:hint="eastAsia" w:ascii="Arial" w:hAnsi="Arial" w:eastAsia="黑体" w:cstheme="minorBidi"/>
          <w:b/>
          <w:color w:val="auto"/>
          <w:kern w:val="2"/>
          <w:sz w:val="36"/>
          <w:szCs w:val="36"/>
          <w:lang w:val="en-US" w:eastAsia="zh-CN" w:bidi="ar-SA"/>
        </w:rPr>
        <w:t>体育器材室工作人员职责</w:t>
      </w:r>
      <w:bookmarkEnd w:id="18"/>
    </w:p>
    <w:p w14:paraId="69B54E3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一、负责体育器材的保管(包括教学、训练、比赛用器材)，对所管理的器材数量清楚，摆放有条理，对器材的损耗及增补情况应及时反映，并随时申请维护和维修各类损坏器材。</w:t>
      </w:r>
    </w:p>
    <w:p w14:paraId="08A8D2C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 xml:space="preserve">二、对上课、训练、课外活动所需的器材，提前做好准备工作，发放和收回要认真负责，并有详细记载，做到心中有数，如有丢失或损坏现象要及时反映并追究相关人员责任。 </w:t>
      </w:r>
    </w:p>
    <w:p w14:paraId="0554373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三、课堂借用器材应由各班体育委员登记签名后方可借出，上完课后所借的各类器材，应如数及时归还，如有调换或遗失，将追究任课教师的责任，并按情节给予处理和赔偿。</w:t>
      </w:r>
    </w:p>
    <w:p w14:paraId="7A29CFF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四、器材管理员负责课外活动借用器材，保证学生课外活动的正常进行，如有损坏器材和在规定时间内不还器材者，可做出罚款处理。</w:t>
      </w:r>
    </w:p>
    <w:p w14:paraId="04005FA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五、各系部及其他单位，如遇大小活动需借体育器材时，必须持各系部及单位签章的介绍信，经体育部领导同意，并交纳一定数量的押金方可借用。用后须及时归还，如有损坏或遗失，须照价赔偿。</w:t>
      </w:r>
    </w:p>
    <w:p w14:paraId="2EBE392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六、器材管理员须加强责任，负责器材室的防火、防盗、安全及清洁卫生工作，借出和收还的器材须数目齐对，并完好无损。</w:t>
      </w:r>
    </w:p>
    <w:p w14:paraId="292C09B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七、体育器材室严禁闲杂人员无故入内。</w:t>
      </w:r>
    </w:p>
    <w:p w14:paraId="3938153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八、体育器材管理员应按时完成部领导交办的其他任务。</w:t>
      </w:r>
    </w:p>
    <w:p w14:paraId="759BCD6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1AEC260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685A9B0">
      <w:pPr>
        <w:spacing w:line="440" w:lineRule="exact"/>
        <w:ind w:firstLine="5040" w:firstLineChars="1800"/>
        <w:rPr>
          <w:rFonts w:hint="eastAsia" w:asciiTheme="minorEastAsia" w:hAnsiTheme="minorEastAsia"/>
          <w:color w:val="auto"/>
          <w:sz w:val="28"/>
          <w:szCs w:val="28"/>
        </w:rPr>
      </w:pP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stheme="minorEastAsia"/>
          <w:color w:val="auto"/>
          <w:kern w:val="0"/>
          <w:sz w:val="28"/>
          <w:szCs w:val="28"/>
          <w:highlight w:val="none"/>
        </w:rPr>
        <w:t xml:space="preserve"> </w:t>
      </w: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olor w:val="auto"/>
          <w:sz w:val="28"/>
          <w:szCs w:val="28"/>
        </w:rPr>
        <w:t>体育部</w:t>
      </w:r>
    </w:p>
    <w:p w14:paraId="74D58862">
      <w:pPr>
        <w:snapToGrid w:val="0"/>
        <w:spacing w:line="440" w:lineRule="exact"/>
        <w:ind w:firstLine="560" w:firstLineChars="200"/>
        <w:jc w:val="right"/>
        <w:rPr>
          <w:rFonts w:asciiTheme="minorEastAsia" w:hAnsiTheme="minorEastAsia" w:cstheme="minorEastAsia"/>
          <w:color w:val="auto"/>
          <w:sz w:val="28"/>
          <w:szCs w:val="28"/>
          <w:highlight w:val="none"/>
        </w:rPr>
      </w:pP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 xml:space="preserve"> 年 </w:t>
      </w:r>
      <w:r>
        <w:rPr>
          <w:rFonts w:hint="eastAsia" w:ascii="Times New Roman" w:hAnsi="Times New Roman" w:eastAsia="宋体" w:cs="Times New Roman"/>
          <w:color w:val="auto"/>
          <w:sz w:val="28"/>
          <w:szCs w:val="28"/>
          <w:highlight w:val="none"/>
          <w:lang w:val="en-US" w:eastAsia="zh-CN"/>
        </w:rPr>
        <w:t>3</w:t>
      </w:r>
      <w:r>
        <w:rPr>
          <w:rFonts w:hint="eastAsia" w:ascii="宋体" w:hAnsi="宋体" w:eastAsia="宋体" w:cs="宋体"/>
          <w:color w:val="auto"/>
          <w:sz w:val="28"/>
          <w:szCs w:val="28"/>
          <w:highlight w:val="none"/>
        </w:rPr>
        <w:t>月</w:t>
      </w:r>
    </w:p>
    <w:p w14:paraId="5A5B904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5BD275B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7240790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70467324">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423F39F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166545A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9A7132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9C50593">
      <w:pPr>
        <w:pStyle w:val="3"/>
        <w:keepNext/>
        <w:keepLines/>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heme="minorEastAsia" w:hAnsiTheme="minorEastAsia" w:cstheme="minorEastAsia"/>
          <w:color w:val="auto"/>
          <w:kern w:val="0"/>
          <w:sz w:val="28"/>
          <w:szCs w:val="28"/>
          <w:highlight w:val="none"/>
        </w:rPr>
      </w:pPr>
      <w:bookmarkStart w:id="19" w:name="_Toc25397"/>
      <w:r>
        <w:rPr>
          <w:rFonts w:hint="eastAsia"/>
          <w:color w:val="auto"/>
          <w:sz w:val="36"/>
          <w:szCs w:val="36"/>
          <w:lang w:val="en-US" w:eastAsia="zh-CN"/>
        </w:rPr>
        <w:t>体育部</w:t>
      </w:r>
      <w:r>
        <w:rPr>
          <w:rFonts w:hint="eastAsia" w:ascii="Arial" w:hAnsi="Arial" w:eastAsia="黑体" w:cstheme="minorBidi"/>
          <w:b/>
          <w:color w:val="auto"/>
          <w:kern w:val="2"/>
          <w:sz w:val="36"/>
          <w:szCs w:val="36"/>
          <w:lang w:val="en-US" w:eastAsia="zh-CN" w:bidi="ar-SA"/>
        </w:rPr>
        <w:t>看台形体训练室管理规章制度</w:t>
      </w:r>
      <w:bookmarkEnd w:id="19"/>
    </w:p>
    <w:p w14:paraId="36D4883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1、形体训练室是大众形体训练课、专业形体训练课、健美操课、形体舞蹈课、专业舞蹈等课程教学与训练场所，其他课程不得占用形体训练室。</w:t>
      </w:r>
    </w:p>
    <w:p w14:paraId="1103FFB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2、任课老师不可持有形体训练室钥匙，上课前由形体训练室管理人员持钥匙开门，方可使用；任课老师不能私自把形体训练室转借他人或者学生用。</w:t>
      </w:r>
    </w:p>
    <w:p w14:paraId="165C7B1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3、任课老师使用形体训练室，须做好使用登记，课后必须自己关闭电源，锁好门窗，严格执行形体训练室管理制度。</w:t>
      </w:r>
    </w:p>
    <w:p w14:paraId="124A462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4、进入形体训练室要穿专业服装和鞋袜，禁止穿高跟鞋、皮鞋及其他对地板有损害的鞋子进入；爱护室内设施（把杆、音响设备、玻璃镜、地板等），如有损坏，照价赔偿。</w:t>
      </w:r>
    </w:p>
    <w:p w14:paraId="470C6B2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5、形体训练室内禁止携带任何食品、饮料，禁止吸烟、大声喧哗，以确保场内卫生和空气流畅，保持室内整洁。</w:t>
      </w:r>
    </w:p>
    <w:p w14:paraId="593A041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6、其它部门如需使用形体训练室，先要得到体育部的同意，并到教务处办理相关手续，方可使用；学生如需使用形体训练室必需持系里的申请报告，得到体育部同意，并到教务处办理相关手续，方可使用。</w:t>
      </w:r>
    </w:p>
    <w:p w14:paraId="4A7D156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7、形体训练室管理人员应每天搞好室内、室外卫生，定期（每月一次）检查形体训练室设施，如有正常使用损耗应及时向体育部、教务处报告，并申请报告学校维修。</w:t>
      </w:r>
    </w:p>
    <w:p w14:paraId="7CE0FFC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8、以上规定请认真遵守，不得违反，如有违反者按学校有关规定处理。</w:t>
      </w:r>
    </w:p>
    <w:p w14:paraId="72E13F2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3BA240C2">
      <w:pPr>
        <w:spacing w:line="440" w:lineRule="exact"/>
        <w:ind w:firstLine="5040" w:firstLineChars="1800"/>
        <w:rPr>
          <w:rFonts w:hint="eastAsia" w:asciiTheme="minorEastAsia" w:hAnsiTheme="minorEastAsia"/>
          <w:color w:val="auto"/>
          <w:sz w:val="28"/>
          <w:szCs w:val="28"/>
        </w:rPr>
      </w:pP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stheme="minorEastAsia"/>
          <w:color w:val="auto"/>
          <w:kern w:val="0"/>
          <w:sz w:val="28"/>
          <w:szCs w:val="28"/>
          <w:highlight w:val="none"/>
        </w:rPr>
        <w:t xml:space="preserve"> </w:t>
      </w: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olor w:val="auto"/>
          <w:sz w:val="28"/>
          <w:szCs w:val="28"/>
        </w:rPr>
        <w:t>体育部</w:t>
      </w:r>
    </w:p>
    <w:p w14:paraId="12D73582">
      <w:pPr>
        <w:snapToGrid w:val="0"/>
        <w:spacing w:line="440" w:lineRule="exact"/>
        <w:ind w:firstLine="560" w:firstLineChars="200"/>
        <w:jc w:val="right"/>
        <w:rPr>
          <w:rFonts w:asciiTheme="minorEastAsia" w:hAnsiTheme="minorEastAsia" w:cstheme="minorEastAsia"/>
          <w:color w:val="auto"/>
          <w:sz w:val="28"/>
          <w:szCs w:val="28"/>
          <w:highlight w:val="none"/>
        </w:rPr>
      </w:pP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 xml:space="preserve"> 年 </w:t>
      </w:r>
      <w:r>
        <w:rPr>
          <w:rFonts w:hint="eastAsia" w:ascii="Times New Roman" w:hAnsi="Times New Roman" w:eastAsia="宋体" w:cs="Times New Roman"/>
          <w:color w:val="auto"/>
          <w:sz w:val="28"/>
          <w:szCs w:val="28"/>
          <w:highlight w:val="none"/>
          <w:lang w:val="en-US" w:eastAsia="zh-CN"/>
        </w:rPr>
        <w:t>3</w:t>
      </w:r>
      <w:r>
        <w:rPr>
          <w:rFonts w:hint="eastAsia" w:ascii="宋体" w:hAnsi="宋体" w:eastAsia="宋体" w:cs="宋体"/>
          <w:color w:val="auto"/>
          <w:sz w:val="28"/>
          <w:szCs w:val="28"/>
          <w:highlight w:val="none"/>
        </w:rPr>
        <w:t>月</w:t>
      </w:r>
    </w:p>
    <w:p w14:paraId="19DD27A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4BBDD61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66F8437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7C6E275F">
      <w:pPr>
        <w:pStyle w:val="3"/>
        <w:keepNext/>
        <w:keepLines/>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黑体" w:cstheme="minorBidi"/>
          <w:b/>
          <w:color w:val="auto"/>
          <w:kern w:val="2"/>
          <w:sz w:val="36"/>
          <w:szCs w:val="36"/>
          <w:lang w:val="en-US" w:eastAsia="zh-CN" w:bidi="ar-SA"/>
        </w:rPr>
      </w:pPr>
      <w:bookmarkStart w:id="20" w:name="_Toc31660"/>
      <w:r>
        <w:rPr>
          <w:rFonts w:hint="eastAsia"/>
          <w:color w:val="auto"/>
          <w:sz w:val="36"/>
          <w:szCs w:val="36"/>
          <w:lang w:val="en-US" w:eastAsia="zh-CN"/>
        </w:rPr>
        <w:t>体育部</w:t>
      </w:r>
      <w:r>
        <w:rPr>
          <w:rFonts w:hint="eastAsia" w:ascii="Arial" w:hAnsi="Arial" w:eastAsia="黑体" w:cstheme="minorBidi"/>
          <w:b/>
          <w:color w:val="auto"/>
          <w:kern w:val="2"/>
          <w:sz w:val="36"/>
          <w:szCs w:val="36"/>
          <w:lang w:val="en-US" w:eastAsia="zh-CN" w:bidi="ar-SA"/>
        </w:rPr>
        <w:t>乒乓球室管理制度</w:t>
      </w:r>
      <w:bookmarkEnd w:id="20"/>
    </w:p>
    <w:p w14:paraId="756A8BE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为进一步加强乒乓球室管理，维护场地设施，保持良好的运动秩序和安全环境，保证体育教学、竞赛训练、群体活动的正常进行，提高体育教学质量和运动水平，结合我校实际，特作以下规定。</w:t>
      </w:r>
    </w:p>
    <w:p w14:paraId="19A3F934">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1、乒乓球室主要供体育教学、训练、比赛和师生课外锻炼使用；在体育课堂教学、训练、比赛时间内，无关人员不得进入乒乓球室内活动，也不得以任何理由在室内追跑、打闹。 </w:t>
      </w:r>
    </w:p>
    <w:p w14:paraId="08C330C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2、学生上体育课时，需由教师带领进入室内；校运动队训练需由指导教师带队进入室内；任何人进入乒乓球室内都必须穿运动鞋，严禁穿皮鞋、钉鞋和易致伤害的服装。</w:t>
      </w:r>
    </w:p>
    <w:p w14:paraId="17EC6DB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3、禁止助力车、自行车、动物进入室内；室内禁止吸烟，禁止随地吐痰，禁止乱丢瓜皮、果壳、纸屑和携带使用易燃易爆易腐物品。</w:t>
      </w:r>
    </w:p>
    <w:p w14:paraId="20B2553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4、爱护室内设施和体育器材，禁止将衣物挂在球网上，不准坐在乒乓球台上，严禁用球拍和不正确技术敲打桌面，不得私自搬动乒乓球桌，不得私卸球网。</w:t>
      </w:r>
    </w:p>
    <w:p w14:paraId="51ADA69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5、运动前做好必要的热身准备，因自身活动不当造成摔伤或其他严重后果者，责任自负。 </w:t>
      </w:r>
    </w:p>
    <w:p w14:paraId="6F8C038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6、对人为损坏室内场地及器材设施的责任者，视情节并根据有关规定给予批评教育和学校相关规定进行处理。 </w:t>
      </w:r>
    </w:p>
    <w:p w14:paraId="6894A3B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7、节约用电，活动结束后要注意关灯；管理员定时清理、打扫卫生和维护场内设施设备。</w:t>
      </w:r>
    </w:p>
    <w:p w14:paraId="77C268F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8、以上规定请认真遵守，不得违反，如有违反者按学校有关规定处理。</w:t>
      </w:r>
    </w:p>
    <w:p w14:paraId="4998FE1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5F16E261">
      <w:pPr>
        <w:spacing w:line="440" w:lineRule="exact"/>
        <w:ind w:firstLine="5040" w:firstLineChars="1800"/>
        <w:rPr>
          <w:rFonts w:hint="eastAsia" w:asciiTheme="minorEastAsia" w:hAnsiTheme="minorEastAsia"/>
          <w:color w:val="auto"/>
          <w:sz w:val="28"/>
          <w:szCs w:val="28"/>
        </w:rPr>
      </w:pP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stheme="minorEastAsia"/>
          <w:color w:val="auto"/>
          <w:kern w:val="0"/>
          <w:sz w:val="28"/>
          <w:szCs w:val="28"/>
          <w:highlight w:val="none"/>
        </w:rPr>
        <w:t xml:space="preserve"> </w:t>
      </w: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olor w:val="auto"/>
          <w:sz w:val="28"/>
          <w:szCs w:val="28"/>
        </w:rPr>
        <w:t>体育部</w:t>
      </w:r>
    </w:p>
    <w:p w14:paraId="5464BCBD">
      <w:pPr>
        <w:snapToGrid w:val="0"/>
        <w:spacing w:line="400" w:lineRule="exact"/>
        <w:ind w:firstLine="560" w:firstLineChars="200"/>
        <w:rPr>
          <w:rFonts w:asciiTheme="minorEastAsia" w:hAnsiTheme="minorEastAsia" w:cstheme="minorEastAsia"/>
          <w:color w:val="auto"/>
          <w:szCs w:val="21"/>
          <w:highlight w:val="none"/>
        </w:rPr>
      </w:pP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 xml:space="preserve">年 </w:t>
      </w:r>
      <w:r>
        <w:rPr>
          <w:rFonts w:hint="eastAsia" w:ascii="Times New Roman" w:hAnsi="Times New Roman" w:eastAsia="宋体" w:cs="Times New Roman"/>
          <w:color w:val="auto"/>
          <w:sz w:val="28"/>
          <w:szCs w:val="28"/>
          <w:highlight w:val="none"/>
          <w:lang w:val="en-US" w:eastAsia="zh-CN"/>
        </w:rPr>
        <w:t>3</w:t>
      </w:r>
      <w:r>
        <w:rPr>
          <w:rFonts w:hint="eastAsia" w:ascii="宋体" w:hAnsi="宋体" w:eastAsia="宋体" w:cs="宋体"/>
          <w:color w:val="auto"/>
          <w:sz w:val="28"/>
          <w:szCs w:val="28"/>
          <w:highlight w:val="none"/>
        </w:rPr>
        <w:t>月</w:t>
      </w:r>
    </w:p>
    <w:p w14:paraId="417B372F">
      <w:pPr>
        <w:snapToGrid w:val="0"/>
        <w:spacing w:line="440" w:lineRule="exact"/>
        <w:ind w:firstLine="720" w:firstLineChars="200"/>
        <w:jc w:val="left"/>
        <w:rPr>
          <w:rFonts w:hint="eastAsia" w:asciiTheme="minorEastAsia" w:hAnsiTheme="minorEastAsia" w:cstheme="minorEastAsia"/>
          <w:color w:val="auto"/>
          <w:kern w:val="0"/>
          <w:sz w:val="28"/>
          <w:szCs w:val="28"/>
          <w:highlight w:val="none"/>
        </w:rPr>
      </w:pPr>
      <w:r>
        <w:rPr>
          <w:color w:val="auto"/>
          <w:sz w:val="36"/>
          <w:szCs w:val="36"/>
          <w:highlight w:val="none"/>
        </w:rPr>
        <w:br w:type="page"/>
      </w:r>
    </w:p>
    <w:p w14:paraId="7A0892A6">
      <w:pPr>
        <w:pStyle w:val="3"/>
        <w:keepNext/>
        <w:keepLines/>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黑体" w:cstheme="minorBidi"/>
          <w:b/>
          <w:color w:val="auto"/>
          <w:kern w:val="2"/>
          <w:sz w:val="36"/>
          <w:szCs w:val="36"/>
          <w:lang w:val="en-US" w:eastAsia="zh-CN" w:bidi="ar-SA"/>
        </w:rPr>
      </w:pPr>
      <w:bookmarkStart w:id="21" w:name="_Toc12180"/>
      <w:r>
        <w:rPr>
          <w:rFonts w:hint="eastAsia"/>
          <w:color w:val="auto"/>
          <w:sz w:val="36"/>
          <w:szCs w:val="36"/>
          <w:lang w:val="en-US" w:eastAsia="zh-CN"/>
        </w:rPr>
        <w:t>体育部</w:t>
      </w:r>
      <w:r>
        <w:rPr>
          <w:rFonts w:hint="eastAsia" w:ascii="Arial" w:hAnsi="Arial" w:eastAsia="黑体" w:cstheme="minorBidi"/>
          <w:b/>
          <w:color w:val="auto"/>
          <w:kern w:val="2"/>
          <w:sz w:val="36"/>
          <w:szCs w:val="36"/>
          <w:lang w:val="en-US" w:eastAsia="zh-CN" w:bidi="ar-SA"/>
        </w:rPr>
        <w:t>羽毛球室管理制度</w:t>
      </w:r>
      <w:bookmarkEnd w:id="21"/>
    </w:p>
    <w:p w14:paraId="18CD5F6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为进一步加强羽毛球室管理，维护场地设施，保持良好的运动秩序和安全环境，保证体育教学、竞赛训练的正常进行，提高体育教学质量和运动水平，结合我校实际，特作以下规定。</w:t>
      </w:r>
    </w:p>
    <w:p w14:paraId="364D114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1、羽毛球室主要供体育教学、训练、比赛使用；在体育课堂教学、训练、比赛时间内，无关人员不得进入羽毛球馆内活动，也不得以任何理由在室内追跑、打闹。</w:t>
      </w:r>
    </w:p>
    <w:p w14:paraId="7AB6843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2、学生上体育课时，需由教师带领进入室内；校运动队训练需由指导教师带队进入室内；任何人进入羽毛球室内都必须穿运动鞋，严禁穿皮鞋、钉鞋、高跟鞋、硬底鞋和易致伤害的服装进入场内。</w:t>
      </w:r>
    </w:p>
    <w:p w14:paraId="40EF9F8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3、注意保持场地清洁卫生，禁止助力车、自行车、动物进入室内；室内禁止吸烟，禁止随地吐痰，禁止乱刻乱画、张贴广告，禁止乱丢瓜皮、果壳、纸屑和携带易燃、易爆、易腐蚀等危险品进入室内。</w:t>
      </w:r>
    </w:p>
    <w:p w14:paraId="36FF074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4、要爱护场馆内的器材和设施，禁止随意移动网架和搬运物品，以防地板划伤，对人为损坏室内场地及器材设施的责任者，视情节并根据有关规定给予批评教育和学校相关规定进行处理。 </w:t>
      </w:r>
    </w:p>
    <w:p w14:paraId="7673107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5、运动前做好必要的热身准备，因自身活动不当造成摔伤或其他严重后果者，责任自负。活动时，请自行妥善保管贵重物品，如有遗失本馆概不负责。</w:t>
      </w:r>
    </w:p>
    <w:p w14:paraId="3A0CF93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6、节约用电，活动结束后要注意关灯；管理员定时清理打扫卫生和维护场内设施设备</w:t>
      </w:r>
    </w:p>
    <w:p w14:paraId="015BC79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7、以上规定请认真遵守，不得违反，如有违反者按学校有关规定处理。</w:t>
      </w:r>
    </w:p>
    <w:p w14:paraId="2E8E9744">
      <w:pPr>
        <w:snapToGrid w:val="0"/>
        <w:spacing w:line="440" w:lineRule="exact"/>
        <w:ind w:firstLine="7000" w:firstLineChars="2500"/>
        <w:jc w:val="left"/>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lang w:val="en-US" w:eastAsia="zh-CN"/>
        </w:rPr>
        <w:t>体育部</w:t>
      </w:r>
    </w:p>
    <w:p w14:paraId="7A39C800">
      <w:pPr>
        <w:snapToGrid w:val="0"/>
        <w:spacing w:line="440" w:lineRule="exact"/>
        <w:ind w:firstLine="6720" w:firstLineChars="24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20</w:t>
      </w:r>
      <w:r>
        <w:rPr>
          <w:rFonts w:hint="eastAsia" w:asciiTheme="minorEastAsia" w:hAnsiTheme="minorEastAsia" w:cstheme="minorEastAsia"/>
          <w:color w:val="auto"/>
          <w:kern w:val="0"/>
          <w:sz w:val="28"/>
          <w:szCs w:val="28"/>
          <w:highlight w:val="none"/>
          <w:lang w:val="en-US" w:eastAsia="zh-CN"/>
        </w:rPr>
        <w:t>25</w:t>
      </w:r>
      <w:r>
        <w:rPr>
          <w:rFonts w:hint="eastAsia" w:asciiTheme="minorEastAsia" w:hAnsiTheme="minorEastAsia" w:cstheme="minorEastAsia"/>
          <w:color w:val="auto"/>
          <w:kern w:val="0"/>
          <w:sz w:val="28"/>
          <w:szCs w:val="28"/>
          <w:highlight w:val="none"/>
        </w:rPr>
        <w:t>年3月</w:t>
      </w:r>
    </w:p>
    <w:p w14:paraId="52C4DA4C">
      <w:pPr>
        <w:snapToGrid w:val="0"/>
        <w:spacing w:line="440" w:lineRule="exact"/>
        <w:jc w:val="left"/>
        <w:rPr>
          <w:rFonts w:hint="eastAsia" w:asciiTheme="minorEastAsia" w:hAnsiTheme="minorEastAsia" w:cstheme="minorEastAsia"/>
          <w:color w:val="auto"/>
          <w:kern w:val="0"/>
          <w:sz w:val="28"/>
          <w:szCs w:val="28"/>
          <w:highlight w:val="none"/>
        </w:rPr>
      </w:pPr>
    </w:p>
    <w:p w14:paraId="334C613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5FD2AAC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7CE6C88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5C81A33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48EF16B6">
      <w:pPr>
        <w:pStyle w:val="3"/>
        <w:keepNext/>
        <w:keepLines/>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color w:val="auto"/>
          <w:sz w:val="36"/>
          <w:szCs w:val="36"/>
          <w:lang w:val="en-US" w:eastAsia="zh-CN"/>
        </w:rPr>
      </w:pPr>
      <w:bookmarkStart w:id="22" w:name="_Toc30823"/>
      <w:r>
        <w:rPr>
          <w:rFonts w:hint="eastAsia"/>
          <w:color w:val="auto"/>
          <w:sz w:val="36"/>
          <w:szCs w:val="36"/>
          <w:lang w:val="en-US" w:eastAsia="zh-CN"/>
        </w:rPr>
        <w:t>体育部实验（实训）室仪器设备管理办法</w:t>
      </w:r>
      <w:bookmarkEnd w:id="22"/>
    </w:p>
    <w:p w14:paraId="314DCD14">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为进一步规范体育部实验（实训）室仪器设备的管理和使用，保障实验（实训）室各项实验（实训）教学活动的正常开展，特制定本办法。</w:t>
      </w:r>
    </w:p>
    <w:p w14:paraId="5FC2A121">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一、仪器设备的购置</w:t>
      </w:r>
    </w:p>
    <w:p w14:paraId="1755290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根据实际需要，由实验（实训）室管理员、使用人员负责仪器设备的调研和选型。</w:t>
      </w:r>
    </w:p>
    <w:p w14:paraId="30CF8534">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由实验（实训）室负责人提出申请，按照学校相关流程采购仪器设备。</w:t>
      </w:r>
    </w:p>
    <w:p w14:paraId="7DC6CC4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所购仪器设备须在合同上注明品牌、型号及交货日期。</w:t>
      </w:r>
    </w:p>
    <w:p w14:paraId="5F0D00C7">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二、仪器设备的安装</w:t>
      </w:r>
    </w:p>
    <w:p w14:paraId="5FCFC71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实验（实训）室管理员提供与仪器设备要求环境相适应的场地。</w:t>
      </w:r>
    </w:p>
    <w:p w14:paraId="7DE05EE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仪器设备的安装调试由生产厂家技术人员完成，实验（实训）室管理员现场监督，发现问题及时与厂家沟通解决。</w:t>
      </w:r>
    </w:p>
    <w:p w14:paraId="58E0ADF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安装调试期间，实验（实训）室管理员、仪器使用人员应积极主动向生产厂家技术人员学习，掌握仪器设备的操作规范。</w:t>
      </w:r>
    </w:p>
    <w:p w14:paraId="217572E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安装调试完毕，相关人员须填写安装调试登记表。</w:t>
      </w:r>
    </w:p>
    <w:p w14:paraId="5455A127">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三、仪器设备的验收</w:t>
      </w:r>
    </w:p>
    <w:p w14:paraId="33DFE3B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体育部相关领导、实验（实训）室负责人、实验（实训）室管理员、使用人员和学校相关部门做好验收工作。</w:t>
      </w:r>
    </w:p>
    <w:p w14:paraId="04B86B9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须检查仪器设备及其配套产品是否与合同规定一致，包装、外观是否完好无损，是否具备合格证书、说明书及相关资料（含电子资料）等。</w:t>
      </w:r>
    </w:p>
    <w:p w14:paraId="6E19C63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按照相关规定抽查仪器设备使用是否正常。</w:t>
      </w:r>
    </w:p>
    <w:p w14:paraId="3D38F3E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相关人员填写验收记录、仪器设备登记表。</w:t>
      </w:r>
    </w:p>
    <w:p w14:paraId="39D2ED80">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四、仪器设备的使用</w:t>
      </w:r>
    </w:p>
    <w:p w14:paraId="6173C7A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本着仪器设备“宁可用坏，不可放坏”的使用原则，使仪器设备得到充分利用，提高其使用率。</w:t>
      </w:r>
    </w:p>
    <w:p w14:paraId="72D9EC6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要树立仪器设备属于国有资产的观念，使用过程中要轻拿轻放、爱护仪器设备。</w:t>
      </w:r>
    </w:p>
    <w:p w14:paraId="159DD90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仪器设备的使用对体育部和学校其他单位同等对待，不得以任何理由拒绝接受正常的教学、科研工作。</w:t>
      </w:r>
    </w:p>
    <w:p w14:paraId="5B14ED3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实验（实训）室作为体育部对外的窗口，在保证教学、科研的前提下，对外提供技术服务，合理收费，合理分配。</w:t>
      </w:r>
    </w:p>
    <w:p w14:paraId="75CA557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仪器设备使用人员在使用仪器的过程中，应严格按照相关规范进行操作。</w:t>
      </w:r>
    </w:p>
    <w:p w14:paraId="799EF6D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大型仪器设备做到专人专管，操作系统设置密码，其他人员不得擅自使用。</w:t>
      </w:r>
    </w:p>
    <w:p w14:paraId="4D0A8034">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仪器设备不得随意搬离、挪动。如确需搬动，须经实验（实训）室负责人同意，在实验（实训）室管理员监督下进行。</w:t>
      </w:r>
    </w:p>
    <w:p w14:paraId="0C0A221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使用人员不得擅自拆卸仪器设备及更换仪器设备所属零部件。</w:t>
      </w:r>
    </w:p>
    <w:p w14:paraId="58417EE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仪器设备使用后，使用人员应填写仪器设备运行情况、使用人员、有无异常情况等。仪器设备使用完毕，须切断电源，关好门窗，做好防盗工作。</w:t>
      </w:r>
    </w:p>
    <w:p w14:paraId="104B614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使用人员不得擅自修改、卸载仪器设备上已安装的软件，不得擅自安装与上课无关的软件。</w:t>
      </w:r>
    </w:p>
    <w:p w14:paraId="1BFC4D5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仪器设备在使用过程中，使用人员不准吸烟、不准吃零食，须保持室内清洁、卫生、干燥。</w:t>
      </w:r>
    </w:p>
    <w:p w14:paraId="11F56770">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五、仪器设备的管理</w:t>
      </w:r>
    </w:p>
    <w:p w14:paraId="7F81ED6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实验（实训）室要加强仪器设备的管理，做到“管而不死，用而不乱”，提高仪器设备的使用效益。要根据具体情况，制定仪器设备使用、保管、维护细则和操作规程，并应严格执行。</w:t>
      </w:r>
    </w:p>
    <w:p w14:paraId="4C33931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仪器使用人员应经过严格培训，能够独立熟练的操作和维护仪器，培训合格后方能进行操作使用。对不遵守操作规程的人员，实验（实训）室管理员有权制止其使用仪器设备。</w:t>
      </w:r>
    </w:p>
    <w:p w14:paraId="19FE731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仪器设备使用人员要加强对学生仪器设备使用的指导，要求学生单独操作的仪器应教会学生使用，操作不合格者不得单独操作。</w:t>
      </w:r>
    </w:p>
    <w:p w14:paraId="3834EB0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每台仪器设备应有资产管理员张贴标签。</w:t>
      </w:r>
    </w:p>
    <w:p w14:paraId="33C8CE1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每台仪器设备应有实验（实训）室管理员建立仪器档案。</w:t>
      </w:r>
    </w:p>
    <w:p w14:paraId="2556977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所有仪器设备应配套相应的设施与操作环境，保证仪器设备的安全处置、使用和维护。</w:t>
      </w:r>
    </w:p>
    <w:p w14:paraId="02343AE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所有仪器设备在使用过程中发现异常现象，应立即切断电源，停止使用。由使用人向实验（实训）室管理员汇报，并由实验（实训）室管理员按相关流程申请维修。</w:t>
      </w:r>
    </w:p>
    <w:p w14:paraId="34E2CAB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每学期开学前应做好实验（实训）设备的检查和维护工作，学期末应做好实验（实训）设备的防火防盗工作。</w:t>
      </w:r>
    </w:p>
    <w:p w14:paraId="3ADCED6C">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六、仪器设备的维修和维护</w:t>
      </w:r>
    </w:p>
    <w:p w14:paraId="07098C8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仪器设备的管理人员对所管仪器设备应做到精心维护、严格检查，并及时清除事故隐患。</w:t>
      </w:r>
    </w:p>
    <w:p w14:paraId="133AC14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仪器设备出现异常情况或发生故障，使用人员或管理人员应及时向实验（实训）室负责人汇报。</w:t>
      </w:r>
    </w:p>
    <w:p w14:paraId="7FE71CB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仪器设备出现的任何故障及维修结果，仪器设备负责人都应如实做好详细记录。维修结束，实验（实训）室负责人应组织有关人员及时做好对设备维修结果的技术鉴定，相关人员认真填写维修档案，做好存档工作。</w:t>
      </w:r>
    </w:p>
    <w:p w14:paraId="25FF625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如属人为违规操作，擅自拆修造成的设备事故要追究当事人的责任，并按照体育部和学校的有关规定处理。</w:t>
      </w:r>
    </w:p>
    <w:p w14:paraId="52793192">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七、仪器设备的借用</w:t>
      </w:r>
    </w:p>
    <w:p w14:paraId="0F69748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实验（实训）室所有仪器设备借出须经体育部领导批准，并按相关规定办理手续。</w:t>
      </w:r>
    </w:p>
    <w:p w14:paraId="3891E32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借出仪器设备不得收取任何费用。</w:t>
      </w:r>
    </w:p>
    <w:p w14:paraId="4C7DD69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借出的仪器设备归还时，须经实验（实训）室管理员检查签字验收。</w:t>
      </w:r>
    </w:p>
    <w:p w14:paraId="27EA653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1D34F0E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2B7A7401">
      <w:pPr>
        <w:spacing w:line="440" w:lineRule="exact"/>
        <w:ind w:firstLine="5040" w:firstLineChars="1800"/>
        <w:rPr>
          <w:rFonts w:hint="eastAsia" w:asciiTheme="minorEastAsia" w:hAnsiTheme="minorEastAsia"/>
          <w:color w:val="auto"/>
          <w:sz w:val="28"/>
          <w:szCs w:val="28"/>
        </w:rPr>
      </w:pP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stheme="minorEastAsia"/>
          <w:color w:val="auto"/>
          <w:kern w:val="0"/>
          <w:sz w:val="28"/>
          <w:szCs w:val="28"/>
          <w:highlight w:val="none"/>
        </w:rPr>
        <w:t xml:space="preserve"> </w:t>
      </w: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olor w:val="auto"/>
          <w:sz w:val="28"/>
          <w:szCs w:val="28"/>
        </w:rPr>
        <w:t>体育部</w:t>
      </w:r>
    </w:p>
    <w:p w14:paraId="5A55585F">
      <w:pPr>
        <w:snapToGrid w:val="0"/>
        <w:spacing w:line="440" w:lineRule="exact"/>
        <w:ind w:firstLine="560" w:firstLineChars="200"/>
        <w:jc w:val="right"/>
        <w:rPr>
          <w:rFonts w:asciiTheme="minorEastAsia" w:hAnsiTheme="minorEastAsia" w:cstheme="minorEastAsia"/>
          <w:color w:val="auto"/>
          <w:sz w:val="28"/>
          <w:szCs w:val="28"/>
          <w:highlight w:val="none"/>
        </w:rPr>
      </w:pP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 xml:space="preserve">年 </w:t>
      </w:r>
      <w:r>
        <w:rPr>
          <w:rFonts w:hint="eastAsia" w:ascii="Times New Roman" w:hAnsi="Times New Roman" w:eastAsia="宋体" w:cs="Times New Roman"/>
          <w:color w:val="auto"/>
          <w:sz w:val="28"/>
          <w:szCs w:val="28"/>
          <w:highlight w:val="none"/>
          <w:lang w:val="en-US" w:eastAsia="zh-CN"/>
        </w:rPr>
        <w:t>3</w:t>
      </w:r>
      <w:r>
        <w:rPr>
          <w:rFonts w:hint="eastAsia" w:ascii="宋体" w:hAnsi="宋体" w:eastAsia="宋体" w:cs="宋体"/>
          <w:color w:val="auto"/>
          <w:sz w:val="28"/>
          <w:szCs w:val="28"/>
          <w:highlight w:val="none"/>
        </w:rPr>
        <w:t>月</w:t>
      </w:r>
    </w:p>
    <w:p w14:paraId="0A408A5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68DFE0E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178D870B">
      <w:pPr>
        <w:snapToGrid w:val="0"/>
        <w:spacing w:line="440" w:lineRule="exact"/>
        <w:jc w:val="left"/>
        <w:rPr>
          <w:rFonts w:hint="eastAsia" w:asciiTheme="minorEastAsia" w:hAnsiTheme="minorEastAsia" w:cstheme="minorEastAsia"/>
          <w:color w:val="auto"/>
          <w:kern w:val="0"/>
          <w:sz w:val="28"/>
          <w:szCs w:val="28"/>
          <w:highlight w:val="none"/>
        </w:rPr>
      </w:pPr>
    </w:p>
    <w:p w14:paraId="13DC1FCF">
      <w:pPr>
        <w:pStyle w:val="3"/>
        <w:keepNext/>
        <w:keepLines/>
        <w:pageBreakBefore w:val="0"/>
        <w:widowControl w:val="0"/>
        <w:kinsoku/>
        <w:wordWrap/>
        <w:overflowPunct/>
        <w:topLinePunct w:val="0"/>
        <w:autoSpaceDE/>
        <w:autoSpaceDN/>
        <w:bidi w:val="0"/>
        <w:adjustRightInd/>
        <w:snapToGrid/>
        <w:spacing w:before="313" w:beforeLines="100" w:after="313" w:afterLines="100" w:line="413" w:lineRule="auto"/>
        <w:jc w:val="center"/>
        <w:textAlignment w:val="auto"/>
        <w:rPr>
          <w:rFonts w:hint="eastAsia" w:ascii="Arial" w:hAnsi="Arial" w:eastAsia="黑体" w:cstheme="minorBidi"/>
          <w:b/>
          <w:color w:val="auto"/>
          <w:kern w:val="2"/>
          <w:sz w:val="36"/>
          <w:szCs w:val="36"/>
          <w:lang w:val="en-US" w:eastAsia="zh-CN" w:bidi="ar-SA"/>
        </w:rPr>
      </w:pPr>
      <w:bookmarkStart w:id="23" w:name="_Toc6909"/>
      <w:r>
        <w:rPr>
          <w:rFonts w:hint="eastAsia" w:ascii="Arial" w:hAnsi="Arial" w:eastAsia="黑体" w:cstheme="minorBidi"/>
          <w:b/>
          <w:color w:val="auto"/>
          <w:kern w:val="2"/>
          <w:sz w:val="36"/>
          <w:szCs w:val="36"/>
          <w:lang w:val="en-US" w:eastAsia="zh-CN" w:bidi="ar-SA"/>
        </w:rPr>
        <w:t>体育部实验（实训）室卫生制度</w:t>
      </w:r>
      <w:bookmarkEnd w:id="23"/>
    </w:p>
    <w:p w14:paraId="6247EFA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为营造体育部实验（实训）室良好的实验环境，特制订本制度：</w:t>
      </w:r>
    </w:p>
    <w:p w14:paraId="638AC67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第一条 实验（实训）室是教学、科研、实践的重要场所，必须加强科学管理，注意实验（实训）环境卫生的保持。</w:t>
      </w:r>
    </w:p>
    <w:p w14:paraId="4EC48B7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第二条 实验（实训）室各项规章制度和标志要明显，标牌统一张贴，悬挂整齐，保持基础设施完好。</w:t>
      </w:r>
    </w:p>
    <w:p w14:paraId="067F1896">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第三条 实验（实训）室须安排专门人员做好实验（实训）室清洁卫生，实验（实训）室公共场所严禁堆放杂物或其它与实验（实训）室无关的物品。</w:t>
      </w:r>
    </w:p>
    <w:p w14:paraId="05C3F68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第四条 实验（实训）室内严禁吸烟、饮食，严禁携带未包裹雨伞、无盖茶水及其他不当物品进入实验（实训）室；不得大声喧哗，禁止乱扔纸屑、杂物等；不准擅自移动设施，不得在桌、墙面及使用登记本上乱涂乱画。</w:t>
      </w:r>
    </w:p>
    <w:p w14:paraId="0812145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第五条 实验（实训）室责任人是本实验室的卫生责任人，负责实验室卫生工作，并定期记录。</w:t>
      </w:r>
    </w:p>
    <w:p w14:paraId="5CD15B8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第六条 实验（实训）室卫生主要由该实验室上课学生或勤工俭学学生打扫。</w:t>
      </w:r>
    </w:p>
    <w:p w14:paraId="4FD24414">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第七条 如发现破坏实验室卫生制度者，应根据情节给予处罚。</w:t>
      </w:r>
    </w:p>
    <w:p w14:paraId="1B65B6D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4E13511D">
      <w:pPr>
        <w:spacing w:line="440" w:lineRule="exact"/>
        <w:ind w:firstLine="5040" w:firstLineChars="1800"/>
        <w:rPr>
          <w:rFonts w:hint="eastAsia" w:asciiTheme="minorEastAsia" w:hAnsiTheme="minorEastAsia"/>
          <w:color w:val="auto"/>
          <w:sz w:val="28"/>
          <w:szCs w:val="28"/>
        </w:rPr>
      </w:pP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stheme="minorEastAsia"/>
          <w:color w:val="auto"/>
          <w:kern w:val="0"/>
          <w:sz w:val="28"/>
          <w:szCs w:val="28"/>
          <w:highlight w:val="none"/>
        </w:rPr>
        <w:t xml:space="preserve"> </w:t>
      </w: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olor w:val="auto"/>
          <w:sz w:val="28"/>
          <w:szCs w:val="28"/>
        </w:rPr>
        <w:t>体育部</w:t>
      </w:r>
    </w:p>
    <w:p w14:paraId="066E553D">
      <w:pPr>
        <w:snapToGrid w:val="0"/>
        <w:spacing w:line="440" w:lineRule="exact"/>
        <w:ind w:firstLine="560" w:firstLineChars="200"/>
        <w:jc w:val="right"/>
        <w:rPr>
          <w:rFonts w:asciiTheme="minorEastAsia" w:hAnsiTheme="minorEastAsia" w:cstheme="minorEastAsia"/>
          <w:color w:val="auto"/>
          <w:sz w:val="28"/>
          <w:szCs w:val="28"/>
          <w:highlight w:val="none"/>
        </w:rPr>
      </w:pP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 xml:space="preserve"> 年 </w:t>
      </w:r>
      <w:r>
        <w:rPr>
          <w:rFonts w:hint="eastAsia" w:ascii="Times New Roman" w:hAnsi="Times New Roman" w:eastAsia="宋体" w:cs="Times New Roman"/>
          <w:color w:val="auto"/>
          <w:sz w:val="28"/>
          <w:szCs w:val="28"/>
          <w:highlight w:val="none"/>
          <w:lang w:val="en-US" w:eastAsia="zh-CN"/>
        </w:rPr>
        <w:t>3</w:t>
      </w:r>
      <w:r>
        <w:rPr>
          <w:rFonts w:hint="eastAsia" w:ascii="宋体" w:hAnsi="宋体" w:eastAsia="宋体" w:cs="宋体"/>
          <w:color w:val="auto"/>
          <w:sz w:val="28"/>
          <w:szCs w:val="28"/>
          <w:highlight w:val="none"/>
        </w:rPr>
        <w:t>月</w:t>
      </w:r>
    </w:p>
    <w:p w14:paraId="0192300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5AC5C28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6DC9E89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603D69E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42FFDD6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5D953FD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35046BE4">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6569C74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3456B0D0">
      <w:pPr>
        <w:snapToGrid w:val="0"/>
        <w:spacing w:line="440" w:lineRule="exact"/>
        <w:ind w:firstLine="741" w:firstLineChars="200"/>
        <w:jc w:val="left"/>
        <w:rPr>
          <w:rFonts w:hint="eastAsia" w:asciiTheme="minorEastAsia" w:hAnsiTheme="minorEastAsia" w:cstheme="minorEastAsia"/>
          <w:color w:val="auto"/>
          <w:kern w:val="0"/>
          <w:sz w:val="28"/>
          <w:szCs w:val="28"/>
          <w:highlight w:val="none"/>
        </w:rPr>
      </w:pPr>
      <w:r>
        <w:rPr>
          <w:rFonts w:hint="eastAsia" w:ascii="华文中宋" w:hAnsi="华文中宋" w:eastAsia="华文中宋" w:cs="华文中宋"/>
          <w:b/>
          <w:bCs/>
          <w:color w:val="auto"/>
          <w:spacing w:val="5"/>
          <w:position w:val="6"/>
          <w:sz w:val="36"/>
          <w:szCs w:val="36"/>
          <w:lang w:val="en-US" w:eastAsia="zh-CN"/>
        </w:rPr>
        <w:t>.</w:t>
      </w:r>
    </w:p>
    <w:p w14:paraId="54F91244">
      <w:pPr>
        <w:snapToGrid w:val="0"/>
        <w:spacing w:line="440" w:lineRule="exact"/>
        <w:ind w:firstLine="1481" w:firstLineChars="400"/>
        <w:jc w:val="left"/>
        <w:rPr>
          <w:rFonts w:hint="eastAsia" w:asciiTheme="minorEastAsia" w:hAnsiTheme="minorEastAsia" w:cstheme="minorEastAsia"/>
          <w:color w:val="auto"/>
          <w:kern w:val="0"/>
          <w:sz w:val="28"/>
          <w:szCs w:val="28"/>
          <w:highlight w:val="none"/>
        </w:rPr>
      </w:pPr>
      <w:r>
        <w:rPr>
          <w:rFonts w:hint="eastAsia" w:ascii="华文中宋" w:hAnsi="华文中宋" w:eastAsia="华文中宋" w:cs="华文中宋"/>
          <w:b/>
          <w:bCs/>
          <w:color w:val="auto"/>
          <w:spacing w:val="5"/>
          <w:position w:val="6"/>
          <w:sz w:val="36"/>
          <w:szCs w:val="36"/>
          <w:lang w:val="en-US" w:eastAsia="zh-CN"/>
        </w:rPr>
        <w:t>体育部</w:t>
      </w:r>
      <w:r>
        <w:rPr>
          <w:rFonts w:hint="eastAsia" w:ascii="华文中宋" w:hAnsi="华文中宋" w:eastAsia="华文中宋" w:cs="华文中宋"/>
          <w:b/>
          <w:bCs/>
          <w:color w:val="auto"/>
          <w:spacing w:val="5"/>
          <w:position w:val="6"/>
          <w:sz w:val="36"/>
          <w:szCs w:val="36"/>
          <w:lang w:eastAsia="zh-CN"/>
        </w:rPr>
        <w:t>实验（实训）室档案管理制度</w:t>
      </w:r>
    </w:p>
    <w:p w14:paraId="59A93886">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p>
    <w:p w14:paraId="7A334AA5">
      <w:pPr>
        <w:snapToGrid w:val="0"/>
        <w:spacing w:line="440" w:lineRule="exact"/>
        <w:ind w:firstLine="562" w:firstLineChars="200"/>
        <w:jc w:val="center"/>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第一章 总则</w:t>
      </w:r>
    </w:p>
    <w:p w14:paraId="360DB66E">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 xml:space="preserve">第一条 </w:t>
      </w:r>
      <w:r>
        <w:rPr>
          <w:rFonts w:hint="eastAsia" w:asciiTheme="minorEastAsia" w:hAnsiTheme="minorEastAsia" w:cstheme="minorEastAsia"/>
          <w:color w:val="auto"/>
          <w:kern w:val="0"/>
          <w:sz w:val="28"/>
          <w:szCs w:val="28"/>
          <w:highlight w:val="none"/>
        </w:rPr>
        <w:t>为加强体育部实验（实训）室档案工作，提高实验（实训）室档案管理水平，充分发挥实验（实训）室档案在实验（实训）室工作中的重要作用，根据《普通高等学校档案管理办法》《湖南女子学院实验（实训）室档案管理制度》等文件精神，结合体育部实际，特制定本管理制度。</w:t>
      </w:r>
    </w:p>
    <w:p w14:paraId="2D2BBE6A">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第二条</w:t>
      </w:r>
      <w:r>
        <w:rPr>
          <w:rFonts w:hint="eastAsia" w:asciiTheme="minorEastAsia" w:hAnsiTheme="minorEastAsia" w:cstheme="minorEastAsia"/>
          <w:color w:val="auto"/>
          <w:kern w:val="0"/>
          <w:sz w:val="28"/>
          <w:szCs w:val="28"/>
          <w:highlight w:val="none"/>
        </w:rPr>
        <w:t xml:space="preserve"> 本制度中的“实验（实训）室”是指体育部开展教学和科研工作的所有实验实训场所。</w:t>
      </w:r>
    </w:p>
    <w:p w14:paraId="59D75FF2">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第三条</w:t>
      </w:r>
      <w:r>
        <w:rPr>
          <w:rFonts w:hint="eastAsia" w:asciiTheme="minorEastAsia" w:hAnsiTheme="minorEastAsia" w:cstheme="minorEastAsia"/>
          <w:color w:val="auto"/>
          <w:kern w:val="0"/>
          <w:sz w:val="28"/>
          <w:szCs w:val="28"/>
          <w:highlight w:val="none"/>
        </w:rPr>
        <w:t xml:space="preserve"> 实验（实训）室档案包括实验（实训）室建设档案、实验（实训）室日常管理档案、实验（实训）教学档案三大类。</w:t>
      </w:r>
    </w:p>
    <w:p w14:paraId="6AAF716B">
      <w:pPr>
        <w:snapToGrid w:val="0"/>
        <w:spacing w:line="440" w:lineRule="exact"/>
        <w:ind w:firstLine="562" w:firstLineChars="200"/>
        <w:jc w:val="center"/>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第二章 管理体制</w:t>
      </w:r>
    </w:p>
    <w:p w14:paraId="6C11B59D">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第四条</w:t>
      </w:r>
      <w:r>
        <w:rPr>
          <w:rFonts w:hint="eastAsia" w:asciiTheme="minorEastAsia" w:hAnsiTheme="minorEastAsia" w:cstheme="minorEastAsia"/>
          <w:color w:val="auto"/>
          <w:kern w:val="0"/>
          <w:sz w:val="28"/>
          <w:szCs w:val="28"/>
          <w:highlight w:val="none"/>
        </w:rPr>
        <w:t xml:space="preserve"> 实验（实训）教学设备与实验（实训）室管理部门负责主管实验（实训）室档案工作，对实验（实训）室档案工作进行监督、检查和指导。</w:t>
      </w:r>
    </w:p>
    <w:p w14:paraId="60C28A9E">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第五条</w:t>
      </w:r>
      <w:r>
        <w:rPr>
          <w:rFonts w:hint="eastAsia" w:asciiTheme="minorEastAsia" w:hAnsiTheme="minorEastAsia" w:cstheme="minorEastAsia"/>
          <w:color w:val="auto"/>
          <w:kern w:val="0"/>
          <w:sz w:val="28"/>
          <w:szCs w:val="28"/>
          <w:highlight w:val="none"/>
        </w:rPr>
        <w:t xml:space="preserve"> 分管实验（实训）室工作的体育部领导，主管本单位的实验（实训）室档案工作。实验（实训）室负责人对本单位的实验室档案工作实行组织、监督和指导，各实验（实训）室均应设置档案管理员负责实验（实训）室档案工作。</w:t>
      </w:r>
    </w:p>
    <w:p w14:paraId="2D5E3AE1">
      <w:pPr>
        <w:snapToGrid w:val="0"/>
        <w:spacing w:line="440" w:lineRule="exact"/>
        <w:ind w:firstLine="562" w:firstLineChars="200"/>
        <w:jc w:val="center"/>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第三章 文件材料的收集、整理和归档</w:t>
      </w:r>
    </w:p>
    <w:p w14:paraId="5B000664">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第六条</w:t>
      </w:r>
      <w:r>
        <w:rPr>
          <w:rFonts w:hint="eastAsia" w:asciiTheme="minorEastAsia" w:hAnsiTheme="minorEastAsia" w:cstheme="minorEastAsia"/>
          <w:color w:val="auto"/>
          <w:kern w:val="0"/>
          <w:sz w:val="28"/>
          <w:szCs w:val="28"/>
          <w:highlight w:val="none"/>
        </w:rPr>
        <w:t xml:space="preserve"> 实验（实训）室文件材料的归档范围</w:t>
      </w:r>
    </w:p>
    <w:p w14:paraId="170B79E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（一）实验（实训）室建设档案的归档</w:t>
      </w:r>
    </w:p>
    <w:p w14:paraId="3204EF7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实验（实训）室建设档案，主要包含实验（实训）室的建设立项材料（立项文件、会议纪要等）、项目采购审批表、项目建设申报书、项目建设论证意见表、预算审核表、项目建设合同书、验收报告等，除上交各职能部门外应及时复制留底。</w:t>
      </w:r>
    </w:p>
    <w:p w14:paraId="523458C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实验（实训）室建设规划。</w:t>
      </w:r>
    </w:p>
    <w:p w14:paraId="3EBB2F5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（二）实验（实训）室管理档案的归档</w:t>
      </w:r>
    </w:p>
    <w:p w14:paraId="7637511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各级各类实验（实训）室规章制度（含建设、教学、管理、仪器设备、耗材、岗位责任制度等）。</w:t>
      </w:r>
    </w:p>
    <w:p w14:paraId="5CF1C94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每学期实验（实训）室管理工作计划、工作总结等。</w:t>
      </w:r>
    </w:p>
    <w:p w14:paraId="1F2CC1D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实验（实训）室管理队伍信息（专兼职人员），实验（实训）人员培训材料，承担科研项目的上级批文复印件及统计表。</w:t>
      </w:r>
    </w:p>
    <w:p w14:paraId="571C23A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开放实验（实训）室管理材料（包括但不限于实验（实训）室开放计划表、学生申请开放实验（实训）项目预约登记表、实验（实训）室开放情况一览表等）。</w:t>
      </w:r>
    </w:p>
    <w:p w14:paraId="3844456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实验（实训）室工作人员岗位日志、学生实验（实训）记录本、实验（实训）室使用记录登记本、贵重大型仪器设备使用记录登记本、实验（实训）室安全检查记录登记本、实验（实训）室仪器设备维修记录本等工作记录，每学期收集整理一次。</w:t>
      </w:r>
    </w:p>
    <w:p w14:paraId="742D3D0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实验（实训）室工作人员的考核、评比材料。</w:t>
      </w:r>
    </w:p>
    <w:p w14:paraId="3212124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实验</w:t>
      </w:r>
      <w:r>
        <w:rPr>
          <w:rFonts w:hint="eastAsia" w:asciiTheme="minorEastAsia" w:hAnsiTheme="minorEastAsia" w:cstheme="minorEastAsia"/>
          <w:color w:val="auto"/>
          <w:kern w:val="0"/>
          <w:sz w:val="28"/>
          <w:szCs w:val="28"/>
          <w:highlight w:val="none"/>
          <w:lang w:eastAsia="zh-CN"/>
        </w:rPr>
        <w:t>（</w:t>
      </w:r>
      <w:r>
        <w:rPr>
          <w:rFonts w:hint="eastAsia" w:asciiTheme="minorEastAsia" w:hAnsiTheme="minorEastAsia" w:cstheme="minorEastAsia"/>
          <w:color w:val="auto"/>
          <w:kern w:val="0"/>
          <w:sz w:val="28"/>
          <w:szCs w:val="28"/>
          <w:highlight w:val="none"/>
        </w:rPr>
        <w:t>实训）室仪器设备清单。</w:t>
      </w:r>
    </w:p>
    <w:p w14:paraId="4518BA1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实验</w:t>
      </w:r>
      <w:r>
        <w:rPr>
          <w:rFonts w:hint="eastAsia" w:asciiTheme="minorEastAsia" w:hAnsiTheme="minorEastAsia" w:cstheme="minorEastAsia"/>
          <w:color w:val="auto"/>
          <w:kern w:val="0"/>
          <w:sz w:val="28"/>
          <w:szCs w:val="28"/>
          <w:highlight w:val="none"/>
          <w:lang w:eastAsia="zh-CN"/>
        </w:rPr>
        <w:t>（</w:t>
      </w:r>
      <w:r>
        <w:rPr>
          <w:rFonts w:hint="eastAsia" w:asciiTheme="minorEastAsia" w:hAnsiTheme="minorEastAsia" w:cstheme="minorEastAsia"/>
          <w:color w:val="auto"/>
          <w:kern w:val="0"/>
          <w:sz w:val="28"/>
          <w:szCs w:val="28"/>
          <w:highlight w:val="none"/>
          <w:lang w:val="en-US" w:eastAsia="zh-CN"/>
        </w:rPr>
        <w:t>实训）</w:t>
      </w:r>
      <w:r>
        <w:rPr>
          <w:rFonts w:hint="eastAsia" w:asciiTheme="minorEastAsia" w:hAnsiTheme="minorEastAsia" w:cstheme="minorEastAsia"/>
          <w:color w:val="auto"/>
          <w:kern w:val="0"/>
          <w:sz w:val="28"/>
          <w:szCs w:val="28"/>
          <w:highlight w:val="none"/>
        </w:rPr>
        <w:t>室大型精密贵重仪器设备原始技术档案，如装箱单、仪器说明书等。原始档案由实验（实训）室统一保存，仪器使用人如要查阅仪器的原始档案，可以向实验（实训）室临时借用，但时间最长不得超过一个月。借用仪器设备原始档案时应对所借资料妥善保管，不得损坏、丢失、涂改或转借他人，以保证其有效性。</w:t>
      </w:r>
    </w:p>
    <w:p w14:paraId="3AE641E4">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实验（实训）耗材（特别是危险化学品）入库单、领用单、盘点单。</w:t>
      </w:r>
    </w:p>
    <w:p w14:paraId="766EFB6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（三）实验（实训）教学档案的归档</w:t>
      </w:r>
    </w:p>
    <w:p w14:paraId="7526001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教学运行档案。</w:t>
      </w:r>
    </w:p>
    <w:p w14:paraId="0597F2A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实验。课内实验及独立设置的实验课程教学档案：实验教学大纲（列明有实验项目名称、实验类型、实验学时等信息的课程教学大纲）、实验教学任务、实验教学计划、实验教材（实验指导书）、实验课表、实验教案、实验报告、实验成绩记录表等。</w:t>
      </w:r>
    </w:p>
    <w:p w14:paraId="27A8B6F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实训。课内实训且教学大纲内列明实训项目的课程教学档案：课程教学大纲、课程教学任务、课程教学计划、实训环节教案（或实训任务书）、实训报告或作品等成果、实训成绩记录表等。</w:t>
      </w:r>
    </w:p>
    <w:p w14:paraId="209F898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课程设计及集中实训。集中实践环节中课程设计及集中实训课程教学档案：课程设计（集中实训）教学大纲、课程设计（集中实训）教案或指导书、课程设计报告或集中实训报告、课程设计（集中实训）成绩记录表、教师课程设计（集中实训）总结等。</w:t>
      </w:r>
    </w:p>
    <w:p w14:paraId="51E1689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其他档案：</w:t>
      </w:r>
    </w:p>
    <w:p w14:paraId="201232E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应开实验（实训）项目开设情况一览表。</w:t>
      </w:r>
    </w:p>
    <w:p w14:paraId="54F4153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教师或学生利用实验（实训）室获得的奖项及成果一览表，附论文、著作、专利、课题等证明材料。</w:t>
      </w:r>
    </w:p>
    <w:p w14:paraId="1149F3A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（四）其他材料</w:t>
      </w:r>
    </w:p>
    <w:p w14:paraId="0CF547E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参观记录、检查记录；实验（实训）室人员所参加的重要会议的通知；实验（实训）室所承办会议的通知、总结及会议成果材料。</w:t>
      </w:r>
    </w:p>
    <w:p w14:paraId="5356108D">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第七条</w:t>
      </w:r>
    </w:p>
    <w:p w14:paraId="73E69E3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在实验（实训）室档案材料归档之前，要对材料的真伪进行鉴别。以下材料不予归档：没有保存价值、重复、手续不全的材料（无当事人签字、无单位盖章），红色笔、铅笔书写的材料。</w:t>
      </w:r>
    </w:p>
    <w:p w14:paraId="7977F0B1">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第八条</w:t>
      </w:r>
    </w:p>
    <w:p w14:paraId="2BD90D9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实验（实训）室每位工作人员都有收集档案信息的义务和责任，实验室负责人每学期将收集到的档案材料进行系统整理、编目，交体育部综合办公室统一管理。</w:t>
      </w:r>
    </w:p>
    <w:p w14:paraId="639200B7">
      <w:pPr>
        <w:snapToGrid w:val="0"/>
        <w:spacing w:line="440" w:lineRule="exact"/>
        <w:ind w:firstLine="562" w:firstLineChars="200"/>
        <w:jc w:val="center"/>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第四章 档案管理</w:t>
      </w:r>
    </w:p>
    <w:p w14:paraId="78B89FAD">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 xml:space="preserve">第九条 </w:t>
      </w:r>
      <w:r>
        <w:rPr>
          <w:rFonts w:hint="eastAsia" w:asciiTheme="minorEastAsia" w:hAnsiTheme="minorEastAsia" w:cstheme="minorEastAsia"/>
          <w:color w:val="auto"/>
          <w:kern w:val="0"/>
          <w:sz w:val="28"/>
          <w:szCs w:val="28"/>
          <w:highlight w:val="none"/>
        </w:rPr>
        <w:t>应对档案按时间顺序排列，编号、装册、编制目录等。应采取必要的措施，保护实验（实训）室档案的完整与安全，防止档案的损坏、遗失和混乱。同时做好实验（实训）室各种档案的收进、移出、借阅、丢失、销毁情况的详细记录，便于查找，统计上报。实验（实训）室档案保管人员更替时，交接手续必须严格，要有双方经手人签字，并注明交接日期和交接材料清单。</w:t>
      </w:r>
    </w:p>
    <w:p w14:paraId="55FBCCD9">
      <w:pPr>
        <w:snapToGrid w:val="0"/>
        <w:spacing w:line="440" w:lineRule="exact"/>
        <w:ind w:firstLine="562" w:firstLineChars="200"/>
        <w:jc w:val="center"/>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第五章 档案利用</w:t>
      </w:r>
    </w:p>
    <w:p w14:paraId="76E28660">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第十条</w:t>
      </w:r>
      <w:r>
        <w:rPr>
          <w:rFonts w:hint="eastAsia" w:asciiTheme="minorEastAsia" w:hAnsiTheme="minorEastAsia" w:cstheme="minorEastAsia"/>
          <w:color w:val="auto"/>
          <w:kern w:val="0"/>
          <w:sz w:val="28"/>
          <w:szCs w:val="28"/>
          <w:highlight w:val="none"/>
        </w:rPr>
        <w:t xml:space="preserve"> 档案室应面向校内开放档案。凡持有有效证明或证件的校内单位或个人，在说明利用档案的目的和范围，及履行必要的登记手续后，均可查阅利用属于开放范围的档案，并可以摘录和复制。</w:t>
      </w:r>
    </w:p>
    <w:p w14:paraId="16010114">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 xml:space="preserve">第十一条 </w:t>
      </w:r>
      <w:r>
        <w:rPr>
          <w:rFonts w:hint="eastAsia" w:asciiTheme="minorEastAsia" w:hAnsiTheme="minorEastAsia" w:cstheme="minorEastAsia"/>
          <w:color w:val="auto"/>
          <w:kern w:val="0"/>
          <w:sz w:val="28"/>
          <w:szCs w:val="28"/>
          <w:highlight w:val="none"/>
        </w:rPr>
        <w:t>校外单位和个人查阅档案，应持介绍信，并需经实验（实训）室负责人批准。</w:t>
      </w:r>
    </w:p>
    <w:p w14:paraId="6DF34DFD">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第十二条</w:t>
      </w:r>
      <w:r>
        <w:rPr>
          <w:rFonts w:hint="eastAsia" w:asciiTheme="minorEastAsia" w:hAnsiTheme="minorEastAsia" w:cstheme="minorEastAsia"/>
          <w:color w:val="auto"/>
          <w:kern w:val="0"/>
          <w:sz w:val="28"/>
          <w:szCs w:val="28"/>
          <w:highlight w:val="none"/>
        </w:rPr>
        <w:t xml:space="preserve"> 涉及专利或技术秘密的、涉及个人隐私的、立卷人要永久限制利用的档案，不宜开放。</w:t>
      </w:r>
    </w:p>
    <w:p w14:paraId="370D6DDA">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 xml:space="preserve">第十三条 </w:t>
      </w:r>
      <w:r>
        <w:rPr>
          <w:rFonts w:hint="eastAsia" w:asciiTheme="minorEastAsia" w:hAnsiTheme="minorEastAsia" w:cstheme="minorEastAsia"/>
          <w:color w:val="auto"/>
          <w:kern w:val="0"/>
          <w:sz w:val="28"/>
          <w:szCs w:val="28"/>
          <w:highlight w:val="none"/>
        </w:rPr>
        <w:t>对于要求查阅、摘录、复制属尚未开放的档案，须经实验（实训）室负责人批准。</w:t>
      </w:r>
    </w:p>
    <w:p w14:paraId="4F46D868">
      <w:pPr>
        <w:spacing w:line="440" w:lineRule="exact"/>
        <w:ind w:firstLine="7000" w:firstLineChars="2500"/>
        <w:rPr>
          <w:rFonts w:hint="eastAsia" w:asciiTheme="minorEastAsia" w:hAnsiTheme="minorEastAsia"/>
          <w:color w:val="auto"/>
          <w:sz w:val="28"/>
          <w:szCs w:val="28"/>
        </w:rPr>
      </w:pPr>
    </w:p>
    <w:p w14:paraId="2D32F04B">
      <w:pPr>
        <w:spacing w:line="440" w:lineRule="exact"/>
        <w:ind w:firstLine="7000" w:firstLineChars="2500"/>
        <w:rPr>
          <w:rFonts w:hint="eastAsia" w:asciiTheme="minorEastAsia" w:hAnsiTheme="minorEastAsia"/>
          <w:color w:val="auto"/>
          <w:sz w:val="28"/>
          <w:szCs w:val="28"/>
        </w:rPr>
      </w:pPr>
    </w:p>
    <w:p w14:paraId="5F280051">
      <w:pPr>
        <w:spacing w:line="440" w:lineRule="exact"/>
        <w:ind w:firstLine="7000" w:firstLineChars="2500"/>
        <w:rPr>
          <w:rFonts w:hint="eastAsia" w:asciiTheme="minorEastAsia" w:hAnsiTheme="minorEastAsia"/>
          <w:color w:val="auto"/>
          <w:sz w:val="28"/>
          <w:szCs w:val="28"/>
        </w:rPr>
      </w:pPr>
    </w:p>
    <w:p w14:paraId="168946AB">
      <w:pPr>
        <w:spacing w:line="440" w:lineRule="exact"/>
        <w:ind w:firstLine="7000" w:firstLineChars="2500"/>
        <w:rPr>
          <w:rFonts w:hint="eastAsia" w:asciiTheme="minorEastAsia" w:hAnsiTheme="minorEastAsia"/>
          <w:color w:val="auto"/>
          <w:sz w:val="28"/>
          <w:szCs w:val="28"/>
        </w:rPr>
      </w:pPr>
    </w:p>
    <w:p w14:paraId="5DC06BD3">
      <w:pPr>
        <w:spacing w:line="440" w:lineRule="exact"/>
        <w:ind w:firstLine="7000" w:firstLineChars="2500"/>
        <w:rPr>
          <w:rFonts w:hint="eastAsia" w:asciiTheme="minorEastAsia" w:hAnsiTheme="minorEastAsia"/>
          <w:color w:val="auto"/>
          <w:sz w:val="28"/>
          <w:szCs w:val="28"/>
        </w:rPr>
      </w:pPr>
      <w:r>
        <w:rPr>
          <w:rFonts w:hint="eastAsia" w:asciiTheme="minorEastAsia" w:hAnsiTheme="minorEastAsia"/>
          <w:color w:val="auto"/>
          <w:sz w:val="28"/>
          <w:szCs w:val="28"/>
        </w:rPr>
        <w:t>体育部</w:t>
      </w:r>
    </w:p>
    <w:p w14:paraId="3F7AD18D">
      <w:pPr>
        <w:snapToGrid w:val="0"/>
        <w:spacing w:line="440" w:lineRule="exact"/>
        <w:ind w:firstLine="560" w:firstLineChars="200"/>
        <w:jc w:val="right"/>
        <w:rPr>
          <w:rFonts w:asciiTheme="minorEastAsia" w:hAnsiTheme="minorEastAsia" w:cstheme="minorEastAsia"/>
          <w:color w:val="auto"/>
          <w:sz w:val="28"/>
          <w:szCs w:val="28"/>
          <w:highlight w:val="none"/>
        </w:rPr>
      </w:pP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 xml:space="preserve"> 年 </w:t>
      </w:r>
      <w:r>
        <w:rPr>
          <w:rFonts w:hint="eastAsia" w:ascii="Times New Roman" w:hAnsi="Times New Roman" w:eastAsia="宋体" w:cs="Times New Roman"/>
          <w:color w:val="auto"/>
          <w:sz w:val="28"/>
          <w:szCs w:val="28"/>
          <w:highlight w:val="none"/>
          <w:lang w:val="en-US" w:eastAsia="zh-CN"/>
        </w:rPr>
        <w:t>3</w:t>
      </w:r>
      <w:r>
        <w:rPr>
          <w:rFonts w:hint="eastAsia" w:ascii="宋体" w:hAnsi="宋体" w:eastAsia="宋体" w:cs="宋体"/>
          <w:color w:val="auto"/>
          <w:sz w:val="28"/>
          <w:szCs w:val="28"/>
          <w:highlight w:val="none"/>
        </w:rPr>
        <w:t>月</w:t>
      </w:r>
    </w:p>
    <w:p w14:paraId="78D2110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BF7ED8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7CE687D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695CF96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2DE9DB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2CDA50C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7D46CE3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4101A86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6FCFB7B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5B8BCE9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7EEE5BD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6F7213B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2CB50A4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479566B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7956AB0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429DC7D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62D94EF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4E51BE4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33F4850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101DAA3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C83FE6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1C163BA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5EE2A7B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59835FB4">
      <w:pPr>
        <w:keepNext w:val="0"/>
        <w:keepLines w:val="0"/>
        <w:pageBreakBefore w:val="0"/>
        <w:widowControl w:val="0"/>
        <w:kinsoku/>
        <w:wordWrap/>
        <w:overflowPunct/>
        <w:topLinePunct w:val="0"/>
        <w:autoSpaceDE/>
        <w:autoSpaceDN/>
        <w:bidi w:val="0"/>
        <w:adjustRightInd/>
        <w:snapToGrid/>
        <w:spacing w:before="313" w:beforeLines="100" w:after="313" w:afterLines="100" w:line="413" w:lineRule="auto"/>
        <w:jc w:val="center"/>
        <w:textAlignment w:val="auto"/>
        <w:outlineLvl w:val="1"/>
        <w:rPr>
          <w:rFonts w:hint="eastAsia"/>
          <w:b/>
          <w:bCs/>
          <w:sz w:val="32"/>
          <w:szCs w:val="32"/>
        </w:rPr>
      </w:pPr>
      <w:bookmarkStart w:id="24" w:name="_Toc31741"/>
      <w:r>
        <w:rPr>
          <w:rFonts w:hint="eastAsia" w:ascii="黑体" w:hAnsi="黑体" w:eastAsia="黑体" w:cs="黑体"/>
          <w:b/>
          <w:bCs/>
          <w:sz w:val="36"/>
          <w:szCs w:val="36"/>
          <w:lang w:eastAsia="zh-CN"/>
        </w:rPr>
        <w:t>湖南女子学院《</w:t>
      </w:r>
      <w:r>
        <w:rPr>
          <w:rFonts w:hint="eastAsia" w:ascii="黑体" w:hAnsi="黑体" w:eastAsia="黑体" w:cs="黑体"/>
          <w:b/>
          <w:bCs/>
          <w:sz w:val="36"/>
          <w:szCs w:val="36"/>
        </w:rPr>
        <w:t>学生体质健康</w:t>
      </w:r>
      <w:r>
        <w:rPr>
          <w:rFonts w:hint="eastAsia" w:ascii="黑体" w:hAnsi="黑体" w:eastAsia="黑体" w:cs="黑体"/>
          <w:b/>
          <w:bCs/>
          <w:sz w:val="36"/>
          <w:szCs w:val="36"/>
          <w:lang w:eastAsia="zh-CN"/>
        </w:rPr>
        <w:t>达标》测试</w:t>
      </w:r>
      <w:r>
        <w:rPr>
          <w:rFonts w:hint="eastAsia" w:ascii="黑体" w:hAnsi="黑体" w:eastAsia="黑体" w:cs="黑体"/>
          <w:b/>
          <w:bCs/>
          <w:sz w:val="36"/>
          <w:szCs w:val="36"/>
        </w:rPr>
        <w:t>管理办法</w:t>
      </w:r>
      <w:bookmarkEnd w:id="24"/>
    </w:p>
    <w:p w14:paraId="600E9F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color w:val="000000"/>
          <w:sz w:val="28"/>
          <w:szCs w:val="28"/>
          <w:lang w:val="en-US" w:eastAsia="zh-CN"/>
        </w:rPr>
      </w:pPr>
      <w:r>
        <w:rPr>
          <w:rFonts w:hint="eastAsia" w:asciiTheme="minorEastAsia" w:hAnsiTheme="minorEastAsia" w:eastAsiaTheme="minorEastAsia" w:cstheme="minorEastAsia"/>
          <w:color w:val="auto"/>
          <w:sz w:val="28"/>
          <w:szCs w:val="28"/>
          <w:lang w:eastAsia="zh-CN"/>
        </w:rPr>
        <w:t>为</w:t>
      </w:r>
      <w:r>
        <w:rPr>
          <w:rFonts w:hint="eastAsia" w:asciiTheme="majorEastAsia" w:hAnsiTheme="majorEastAsia" w:eastAsiaTheme="majorEastAsia" w:cstheme="majorEastAsia"/>
          <w:color w:val="auto"/>
          <w:sz w:val="28"/>
          <w:szCs w:val="28"/>
          <w:lang w:val="en-US" w:eastAsia="zh-CN"/>
        </w:rPr>
        <w:t>贯彻</w:t>
      </w:r>
      <w:r>
        <w:rPr>
          <w:rFonts w:hint="eastAsia" w:asciiTheme="majorEastAsia" w:hAnsiTheme="majorEastAsia" w:eastAsiaTheme="majorEastAsia" w:cstheme="majorEastAsia"/>
          <w:color w:val="auto"/>
          <w:sz w:val="28"/>
          <w:szCs w:val="28"/>
          <w:lang w:eastAsia="zh-CN"/>
        </w:rPr>
        <w:t>落实</w:t>
      </w:r>
      <w:r>
        <w:rPr>
          <w:rFonts w:hint="eastAsia" w:asciiTheme="majorEastAsia" w:hAnsiTheme="majorEastAsia" w:eastAsiaTheme="majorEastAsia" w:cstheme="majorEastAsia"/>
          <w:color w:val="auto"/>
          <w:sz w:val="28"/>
          <w:szCs w:val="28"/>
        </w:rPr>
        <w:t>《中共中央国务院关于加强青少年体育增强青少年体质的意见》和《</w:t>
      </w:r>
      <w:r>
        <w:rPr>
          <w:rFonts w:hint="eastAsia" w:asciiTheme="majorEastAsia" w:hAnsiTheme="majorEastAsia" w:eastAsiaTheme="majorEastAsia" w:cstheme="majorEastAsia"/>
          <w:color w:val="000000"/>
          <w:sz w:val="28"/>
          <w:szCs w:val="28"/>
        </w:rPr>
        <w:t>教育部关于印发 &lt;学生体质健康监测评价办法&gt; 等三个文件的通知》（教体艺[2014] 3号文件）</w:t>
      </w:r>
      <w:r>
        <w:rPr>
          <w:rFonts w:hint="eastAsia" w:asciiTheme="majorEastAsia" w:hAnsiTheme="majorEastAsia" w:eastAsiaTheme="majorEastAsia" w:cstheme="majorEastAsia"/>
          <w:color w:val="000000"/>
          <w:sz w:val="28"/>
          <w:szCs w:val="28"/>
          <w:lang w:val="en-US" w:eastAsia="zh-CN"/>
        </w:rPr>
        <w:t>文件</w:t>
      </w:r>
      <w:r>
        <w:rPr>
          <w:rFonts w:hint="eastAsia" w:asciiTheme="majorEastAsia" w:hAnsiTheme="majorEastAsia" w:eastAsiaTheme="majorEastAsia" w:cstheme="majorEastAsia"/>
          <w:color w:val="000000"/>
          <w:sz w:val="28"/>
          <w:szCs w:val="28"/>
        </w:rPr>
        <w:t>精神</w:t>
      </w:r>
      <w:r>
        <w:rPr>
          <w:rFonts w:hint="eastAsia" w:asciiTheme="majorEastAsia" w:hAnsiTheme="majorEastAsia" w:eastAsiaTheme="majorEastAsia" w:cstheme="majorEastAsia"/>
          <w:color w:val="000000"/>
          <w:sz w:val="28"/>
          <w:szCs w:val="28"/>
          <w:lang w:eastAsia="zh-CN"/>
        </w:rPr>
        <w:t>，</w:t>
      </w:r>
      <w:r>
        <w:rPr>
          <w:rFonts w:hint="eastAsia" w:asciiTheme="majorEastAsia" w:hAnsiTheme="majorEastAsia" w:eastAsiaTheme="majorEastAsia" w:cstheme="majorEastAsia"/>
          <w:b w:val="0"/>
          <w:bCs/>
          <w:color w:val="000000"/>
          <w:sz w:val="28"/>
          <w:szCs w:val="28"/>
          <w:lang w:eastAsia="zh-CN"/>
        </w:rPr>
        <w:t>根据</w:t>
      </w:r>
      <w:r>
        <w:rPr>
          <w:rFonts w:hint="eastAsia" w:asciiTheme="majorEastAsia" w:hAnsiTheme="majorEastAsia" w:eastAsiaTheme="majorEastAsia" w:cstheme="majorEastAsia"/>
          <w:b w:val="0"/>
          <w:bCs/>
          <w:color w:val="000000"/>
          <w:sz w:val="28"/>
          <w:szCs w:val="28"/>
        </w:rPr>
        <w:t>《国务院办公厅转发教育部等部门关于进一步加强学校体育工作若干意见的通知》（国办发〔2022〕53号）和《教育部关于印发（学生体质健康监测评价办法》等三个文件的通知》（教体艺〔2022〕3号）有关要求</w:t>
      </w:r>
      <w:r>
        <w:rPr>
          <w:rFonts w:hint="eastAsia" w:asciiTheme="majorEastAsia" w:hAnsiTheme="majorEastAsia" w:eastAsiaTheme="majorEastAsia" w:cstheme="majorEastAsia"/>
          <w:b w:val="0"/>
          <w:bCs/>
          <w:color w:val="000000"/>
          <w:sz w:val="28"/>
          <w:szCs w:val="28"/>
          <w:lang w:eastAsia="zh-CN"/>
        </w:rPr>
        <w:t>，</w:t>
      </w:r>
      <w:r>
        <w:rPr>
          <w:rFonts w:hint="eastAsia" w:asciiTheme="majorEastAsia" w:hAnsiTheme="majorEastAsia" w:eastAsiaTheme="majorEastAsia" w:cstheme="majorEastAsia"/>
          <w:sz w:val="28"/>
          <w:szCs w:val="28"/>
          <w:lang w:val="en-US" w:eastAsia="zh-CN"/>
        </w:rPr>
        <w:t>完成教育部关于《国家学生体质健康标准》测试工作任务安排，检验学校大学体育和校园体育活动开展成效，</w:t>
      </w:r>
      <w:r>
        <w:rPr>
          <w:rFonts w:hint="eastAsia" w:asciiTheme="majorEastAsia" w:hAnsiTheme="majorEastAsia" w:eastAsiaTheme="majorEastAsia" w:cstheme="majorEastAsia"/>
          <w:sz w:val="28"/>
          <w:szCs w:val="28"/>
        </w:rPr>
        <w:t>激励学生积极参加体育锻炼，养成经常锻炼身体的习惯，提高学生的体能健康水平</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湖南工业大学</w:t>
      </w:r>
      <w:r>
        <w:rPr>
          <w:rFonts w:hint="eastAsia" w:asciiTheme="majorEastAsia" w:hAnsiTheme="majorEastAsia" w:eastAsiaTheme="majorEastAsia" w:cstheme="majorEastAsia"/>
          <w:color w:val="000000"/>
          <w:sz w:val="28"/>
          <w:szCs w:val="28"/>
        </w:rPr>
        <w:t>严格执行教育部</w:t>
      </w:r>
      <w:r>
        <w:rPr>
          <w:rFonts w:hint="eastAsia" w:asciiTheme="majorEastAsia" w:hAnsiTheme="majorEastAsia" w:eastAsiaTheme="majorEastAsia" w:cstheme="majorEastAsia"/>
          <w:color w:val="000000"/>
          <w:sz w:val="28"/>
          <w:szCs w:val="28"/>
          <w:lang w:eastAsia="zh-CN"/>
        </w:rPr>
        <w:t>体质健康监测评价和数据上报的工作要求，</w:t>
      </w:r>
      <w:r>
        <w:rPr>
          <w:rFonts w:hint="eastAsia" w:asciiTheme="majorEastAsia" w:hAnsiTheme="majorEastAsia" w:eastAsiaTheme="majorEastAsia" w:cstheme="majorEastAsia"/>
          <w:color w:val="000000"/>
          <w:sz w:val="28"/>
          <w:szCs w:val="28"/>
          <w:lang w:val="en-US" w:eastAsia="zh-CN"/>
        </w:rPr>
        <w:t>特制定《学生体质健康标准》测试管理办法。</w:t>
      </w:r>
    </w:p>
    <w:p w14:paraId="5F272F1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一、组织机构</w:t>
      </w:r>
    </w:p>
    <w:p w14:paraId="28BE5FDF">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领导机构</w:t>
      </w:r>
    </w:p>
    <w:p w14:paraId="24B898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领导机构由湖南女子学院相关职能部门、各二级学院组成，具体如下：</w:t>
      </w:r>
    </w:p>
    <w:p w14:paraId="6F6B21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组  长：主管教学校长</w:t>
      </w:r>
    </w:p>
    <w:p w14:paraId="67E2A3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副组长：体育部主任、教务处处长、学工部部长、各二级学院院长</w:t>
      </w:r>
    </w:p>
    <w:p w14:paraId="693871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成  员：体育部副主任、教务处副处长、学工部副部长、各二级学院副院长</w:t>
      </w:r>
    </w:p>
    <w:p w14:paraId="358500FB">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组织机构</w:t>
      </w:r>
    </w:p>
    <w:p w14:paraId="13F786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学校委托体育部具体负责每年的《学生体质健康测试》工作，具体组织机构如下：</w:t>
      </w:r>
    </w:p>
    <w:p w14:paraId="3DA83F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组  长：体育部主任</w:t>
      </w:r>
    </w:p>
    <w:p w14:paraId="6201D7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副组长：体质测试中心主任、大学体育教研室主任、形体（武术）教研室主任</w:t>
      </w:r>
    </w:p>
    <w:p w14:paraId="432A62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成  员：体育部全体教师、校体育部学生干部</w:t>
      </w:r>
    </w:p>
    <w:p w14:paraId="6DE1824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val="en-US" w:eastAsia="zh-CN"/>
        </w:rPr>
        <w:t>二</w:t>
      </w:r>
      <w:r>
        <w:rPr>
          <w:rFonts w:hint="eastAsia" w:asciiTheme="majorEastAsia" w:hAnsiTheme="majorEastAsia" w:eastAsiaTheme="majorEastAsia" w:cstheme="majorEastAsia"/>
          <w:b/>
          <w:bCs/>
          <w:sz w:val="28"/>
          <w:szCs w:val="28"/>
          <w:lang w:eastAsia="zh-CN"/>
        </w:rPr>
        <w:t>、测试对象及内容</w:t>
      </w:r>
    </w:p>
    <w:p w14:paraId="4A322D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1、</w:t>
      </w:r>
      <w:r>
        <w:rPr>
          <w:rFonts w:hint="eastAsia" w:asciiTheme="majorEastAsia" w:hAnsiTheme="majorEastAsia" w:eastAsiaTheme="majorEastAsia" w:cstheme="majorEastAsia"/>
          <w:sz w:val="28"/>
          <w:szCs w:val="28"/>
          <w:lang w:eastAsia="zh-CN"/>
        </w:rPr>
        <w:t>测试对象：本办法适用于</w:t>
      </w:r>
      <w:r>
        <w:rPr>
          <w:rFonts w:hint="eastAsia" w:asciiTheme="majorEastAsia" w:hAnsiTheme="majorEastAsia" w:eastAsiaTheme="majorEastAsia" w:cstheme="majorEastAsia"/>
          <w:sz w:val="28"/>
          <w:szCs w:val="28"/>
          <w:lang w:val="en-US" w:eastAsia="zh-CN"/>
        </w:rPr>
        <w:t>所有在校的大学生</w:t>
      </w:r>
      <w:r>
        <w:rPr>
          <w:rFonts w:hint="eastAsia" w:asciiTheme="majorEastAsia" w:hAnsiTheme="majorEastAsia" w:eastAsiaTheme="majorEastAsia" w:cstheme="majorEastAsia"/>
          <w:sz w:val="28"/>
          <w:szCs w:val="28"/>
          <w:lang w:eastAsia="zh-CN"/>
        </w:rPr>
        <w:t>。</w:t>
      </w:r>
    </w:p>
    <w:p w14:paraId="4B7ECB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2、</w:t>
      </w:r>
      <w:r>
        <w:rPr>
          <w:rFonts w:hint="eastAsia" w:asciiTheme="majorEastAsia" w:hAnsiTheme="majorEastAsia" w:eastAsiaTheme="majorEastAsia" w:cstheme="majorEastAsia"/>
          <w:sz w:val="28"/>
          <w:szCs w:val="28"/>
          <w:lang w:eastAsia="zh-CN"/>
        </w:rPr>
        <w:t>测试内容：身高、体重、肺活量、坐位体前屈、50米跑、立定跳远、女生仰卧起坐</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eastAsia="zh-CN"/>
        </w:rPr>
        <w:t>男生引体向上、男生1000米</w:t>
      </w: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sz w:val="28"/>
          <w:szCs w:val="28"/>
          <w:lang w:eastAsia="zh-CN"/>
        </w:rPr>
        <w:t>女生800米。</w:t>
      </w:r>
    </w:p>
    <w:p w14:paraId="1A3E92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val="en-US" w:eastAsia="zh-CN"/>
        </w:rPr>
        <w:t>三</w:t>
      </w:r>
      <w:r>
        <w:rPr>
          <w:rFonts w:hint="eastAsia" w:asciiTheme="majorEastAsia" w:hAnsiTheme="majorEastAsia" w:eastAsiaTheme="majorEastAsia" w:cstheme="majorEastAsia"/>
          <w:b/>
          <w:bCs/>
          <w:sz w:val="28"/>
          <w:szCs w:val="28"/>
          <w:lang w:eastAsia="zh-CN"/>
        </w:rPr>
        <w:t>、测试时间与地点</w:t>
      </w:r>
    </w:p>
    <w:p w14:paraId="4E9B02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1、</w:t>
      </w:r>
      <w:r>
        <w:rPr>
          <w:rFonts w:hint="eastAsia" w:asciiTheme="majorEastAsia" w:hAnsiTheme="majorEastAsia" w:eastAsiaTheme="majorEastAsia" w:cstheme="majorEastAsia"/>
          <w:sz w:val="28"/>
          <w:szCs w:val="28"/>
          <w:lang w:eastAsia="zh-CN"/>
        </w:rPr>
        <w:t>测试时间：每学年测试一次，</w:t>
      </w:r>
      <w:r>
        <w:rPr>
          <w:rFonts w:hint="eastAsia" w:asciiTheme="majorEastAsia" w:hAnsiTheme="majorEastAsia" w:eastAsiaTheme="majorEastAsia" w:cstheme="majorEastAsia"/>
          <w:sz w:val="28"/>
          <w:szCs w:val="28"/>
          <w:lang w:val="en-US" w:eastAsia="zh-CN"/>
        </w:rPr>
        <w:t>四年共计测试4次，具体时间安排由学校统一协调安排</w:t>
      </w:r>
      <w:r>
        <w:rPr>
          <w:rFonts w:hint="eastAsia" w:asciiTheme="majorEastAsia" w:hAnsiTheme="majorEastAsia" w:eastAsiaTheme="majorEastAsia" w:cstheme="majorEastAsia"/>
          <w:sz w:val="28"/>
          <w:szCs w:val="28"/>
          <w:lang w:eastAsia="zh-CN"/>
        </w:rPr>
        <w:t>。</w:t>
      </w:r>
    </w:p>
    <w:p w14:paraId="5C6062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2、</w:t>
      </w:r>
      <w:r>
        <w:rPr>
          <w:rFonts w:hint="eastAsia" w:asciiTheme="majorEastAsia" w:hAnsiTheme="majorEastAsia" w:eastAsiaTheme="majorEastAsia" w:cstheme="majorEastAsia"/>
          <w:sz w:val="28"/>
          <w:szCs w:val="28"/>
          <w:lang w:eastAsia="zh-CN"/>
        </w:rPr>
        <w:t>测试地点：体质测试室（室内项目）、运动场（室外项目）。</w:t>
      </w:r>
    </w:p>
    <w:p w14:paraId="1F4FBC9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四</w:t>
      </w: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lang w:val="en-US" w:eastAsia="zh-CN"/>
        </w:rPr>
        <w:t>任务分工</w:t>
      </w:r>
    </w:p>
    <w:p w14:paraId="18BB61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1、</w:t>
      </w:r>
      <w:r>
        <w:rPr>
          <w:rFonts w:hint="eastAsia" w:asciiTheme="majorEastAsia" w:hAnsiTheme="majorEastAsia" w:eastAsiaTheme="majorEastAsia" w:cstheme="majorEastAsia"/>
          <w:color w:val="auto"/>
          <w:sz w:val="28"/>
          <w:szCs w:val="28"/>
          <w:lang w:val="en-US" w:eastAsia="zh-CN"/>
        </w:rPr>
        <w:t>体育部及校体育部学生干部</w:t>
      </w:r>
      <w:r>
        <w:rPr>
          <w:rFonts w:hint="eastAsia" w:asciiTheme="majorEastAsia" w:hAnsiTheme="majorEastAsia" w:eastAsiaTheme="majorEastAsia" w:cstheme="majorEastAsia"/>
          <w:sz w:val="28"/>
          <w:szCs w:val="28"/>
          <w:lang w:eastAsia="zh-CN"/>
        </w:rPr>
        <w:t>负责测试前的准备工作（测试通知、工作方案的制定、</w:t>
      </w:r>
      <w:r>
        <w:rPr>
          <w:rFonts w:hint="eastAsia" w:asciiTheme="majorEastAsia" w:hAnsiTheme="majorEastAsia" w:eastAsiaTheme="majorEastAsia" w:cstheme="majorEastAsia"/>
          <w:sz w:val="28"/>
          <w:szCs w:val="28"/>
          <w:lang w:val="en-US" w:eastAsia="zh-CN"/>
        </w:rPr>
        <w:t>测试设备与器材的准备、</w:t>
      </w:r>
      <w:r>
        <w:rPr>
          <w:rFonts w:hint="eastAsia" w:asciiTheme="majorEastAsia" w:hAnsiTheme="majorEastAsia" w:eastAsiaTheme="majorEastAsia" w:cstheme="majorEastAsia"/>
          <w:sz w:val="28"/>
          <w:szCs w:val="28"/>
          <w:lang w:eastAsia="zh-CN"/>
        </w:rPr>
        <w:t>时间安排表、场地布置、测试人员安排表）、测试期间的现场组织和测试后的数据审核与统计、数据整理与上报等工作。</w:t>
      </w:r>
    </w:p>
    <w:p w14:paraId="103F01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2、</w:t>
      </w:r>
      <w:r>
        <w:rPr>
          <w:rFonts w:hint="eastAsia" w:asciiTheme="majorEastAsia" w:hAnsiTheme="majorEastAsia" w:eastAsiaTheme="majorEastAsia" w:cstheme="majorEastAsia"/>
          <w:sz w:val="28"/>
          <w:szCs w:val="28"/>
          <w:lang w:eastAsia="zh-CN"/>
        </w:rPr>
        <w:t>教务处</w:t>
      </w:r>
      <w:r>
        <w:rPr>
          <w:rFonts w:hint="eastAsia" w:asciiTheme="majorEastAsia" w:hAnsiTheme="majorEastAsia" w:eastAsiaTheme="majorEastAsia" w:cstheme="majorEastAsia"/>
          <w:color w:val="000000"/>
          <w:sz w:val="28"/>
          <w:szCs w:val="28"/>
        </w:rPr>
        <w:t>提供学生基本信息（电子档Excel格式，包括姓名、性别、出生日期、民族、生源地、身份证号码、班级和学号）</w:t>
      </w:r>
      <w:r>
        <w:rPr>
          <w:rFonts w:hint="eastAsia" w:asciiTheme="majorEastAsia" w:hAnsiTheme="majorEastAsia" w:eastAsiaTheme="majorEastAsia" w:cstheme="majorEastAsia"/>
          <w:sz w:val="28"/>
          <w:szCs w:val="28"/>
          <w:lang w:eastAsia="zh-CN"/>
        </w:rPr>
        <w:t>等。</w:t>
      </w:r>
    </w:p>
    <w:p w14:paraId="616A11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3、</w:t>
      </w:r>
      <w:r>
        <w:rPr>
          <w:rFonts w:hint="eastAsia" w:asciiTheme="majorEastAsia" w:hAnsiTheme="majorEastAsia" w:eastAsiaTheme="majorEastAsia" w:cstheme="majorEastAsia"/>
          <w:sz w:val="28"/>
          <w:szCs w:val="28"/>
          <w:lang w:eastAsia="zh-CN"/>
        </w:rPr>
        <w:t>保卫处、校医院负责测试过程的安全、医疗保障工作。</w:t>
      </w:r>
    </w:p>
    <w:p w14:paraId="1EEB0B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4、</w:t>
      </w:r>
      <w:r>
        <w:rPr>
          <w:rFonts w:hint="eastAsia" w:asciiTheme="majorEastAsia" w:hAnsiTheme="majorEastAsia" w:eastAsiaTheme="majorEastAsia" w:cstheme="majorEastAsia"/>
          <w:sz w:val="28"/>
          <w:szCs w:val="28"/>
          <w:lang w:eastAsia="zh-CN"/>
        </w:rPr>
        <w:t>各相关部门应按照职责分工，协同完成</w:t>
      </w:r>
    </w:p>
    <w:p w14:paraId="696C462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5、</w:t>
      </w:r>
      <w:r>
        <w:rPr>
          <w:rFonts w:hint="eastAsia" w:asciiTheme="majorEastAsia" w:hAnsiTheme="majorEastAsia" w:eastAsiaTheme="majorEastAsia" w:cstheme="majorEastAsia"/>
          <w:sz w:val="28"/>
          <w:szCs w:val="28"/>
          <w:lang w:eastAsia="zh-CN"/>
        </w:rPr>
        <w:t>测试时应严格遵守测试规则和流程，确保测试结果的准确性和可靠性。</w:t>
      </w:r>
    </w:p>
    <w:p w14:paraId="6FA092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6、</w:t>
      </w:r>
      <w:r>
        <w:rPr>
          <w:rFonts w:hint="eastAsia" w:asciiTheme="majorEastAsia" w:hAnsiTheme="majorEastAsia" w:eastAsiaTheme="majorEastAsia" w:cstheme="majorEastAsia"/>
          <w:sz w:val="28"/>
          <w:szCs w:val="28"/>
          <w:lang w:eastAsia="zh-CN"/>
        </w:rPr>
        <w:t>各学院应加强宣传教育，提高学生对于体质健康测试的认识和重视程度，缺测或测试不达标不能毕业，鼓励学生积极参与测试。</w:t>
      </w:r>
    </w:p>
    <w:p w14:paraId="00809F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五、奖励与惩罚</w:t>
      </w:r>
    </w:p>
    <w:p w14:paraId="41DED4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sz w:val="28"/>
          <w:szCs w:val="28"/>
          <w:lang w:val="en-US" w:eastAsia="zh-CN"/>
        </w:rPr>
        <w:t>1、对于在体质健康测试中表现优秀的老师和志愿者颁发荣誉证书（包括志愿</w:t>
      </w:r>
      <w:r>
        <w:rPr>
          <w:rFonts w:hint="eastAsia" w:asciiTheme="majorEastAsia" w:hAnsiTheme="majorEastAsia" w:eastAsiaTheme="majorEastAsia" w:cstheme="majorEastAsia"/>
          <w:color w:val="auto"/>
          <w:sz w:val="28"/>
          <w:szCs w:val="28"/>
          <w:lang w:val="en-US" w:eastAsia="zh-CN"/>
        </w:rPr>
        <w:t>时长）。优秀测试员每学年进行一次评比，比例按照当次测试员总数的25%。</w:t>
      </w:r>
    </w:p>
    <w:p w14:paraId="7E1B81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color w:val="auto"/>
          <w:sz w:val="28"/>
          <w:szCs w:val="28"/>
          <w:u w:val="none"/>
          <w:lang w:val="en-US" w:eastAsia="zh-CN"/>
        </w:rPr>
      </w:pPr>
      <w:r>
        <w:rPr>
          <w:rFonts w:hint="eastAsia" w:asciiTheme="majorEastAsia" w:hAnsiTheme="majorEastAsia" w:eastAsiaTheme="majorEastAsia" w:cstheme="majorEastAsia"/>
          <w:color w:val="auto"/>
          <w:sz w:val="28"/>
          <w:szCs w:val="28"/>
          <w:lang w:val="en-US" w:eastAsia="zh-CN"/>
        </w:rPr>
        <w:t>2、</w:t>
      </w:r>
      <w:r>
        <w:rPr>
          <w:rFonts w:hint="eastAsia" w:asciiTheme="majorEastAsia" w:hAnsiTheme="majorEastAsia" w:eastAsiaTheme="majorEastAsia" w:cstheme="majorEastAsia"/>
          <w:color w:val="auto"/>
          <w:sz w:val="28"/>
          <w:szCs w:val="28"/>
          <w:u w:val="none"/>
          <w:lang w:eastAsia="zh-CN"/>
        </w:rPr>
        <w:t>对于在</w:t>
      </w:r>
      <w:r>
        <w:rPr>
          <w:rFonts w:hint="eastAsia" w:asciiTheme="majorEastAsia" w:hAnsiTheme="majorEastAsia" w:eastAsiaTheme="majorEastAsia" w:cstheme="majorEastAsia"/>
          <w:color w:val="auto"/>
          <w:sz w:val="28"/>
          <w:szCs w:val="28"/>
          <w:u w:val="none"/>
          <w:lang w:val="en-US" w:eastAsia="zh-CN"/>
        </w:rPr>
        <w:t>体质健康测试中成绩优异的学生颁发荣誉证书，以资鼓励。</w:t>
      </w:r>
    </w:p>
    <w:p w14:paraId="14CA81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color w:val="auto"/>
          <w:sz w:val="28"/>
          <w:szCs w:val="28"/>
          <w:u w:val="none"/>
          <w:lang w:val="en-US" w:eastAsia="zh-CN"/>
        </w:rPr>
      </w:pPr>
      <w:r>
        <w:rPr>
          <w:rFonts w:hint="eastAsia" w:asciiTheme="majorEastAsia" w:hAnsiTheme="majorEastAsia" w:eastAsiaTheme="majorEastAsia" w:cstheme="majorEastAsia"/>
          <w:color w:val="auto"/>
          <w:sz w:val="28"/>
          <w:szCs w:val="28"/>
          <w:u w:val="none"/>
          <w:lang w:val="en-US" w:eastAsia="zh-CN"/>
        </w:rPr>
        <w:t>3、学生体质健康测试成绩达到良好及以上者，方可参加评优与评奖；测试成绩达不到50分者，按结业或肄业处理。</w:t>
      </w:r>
    </w:p>
    <w:p w14:paraId="18B52B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4、对于在体质健康达标测试中违反规定、弄虚作假、测试作弊、代测等行为，学校应给予相应的惩罚，包括取消测试成绩、取消评优评先、通报批评等。</w:t>
      </w:r>
    </w:p>
    <w:p w14:paraId="7D5C90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Theme="majorEastAsia" w:hAnsiTheme="majorEastAsia" w:eastAsiaTheme="majorEastAsia" w:cstheme="majorEastAsia"/>
          <w:b/>
          <w:bCs/>
          <w:color w:val="auto"/>
          <w:sz w:val="28"/>
          <w:szCs w:val="28"/>
          <w:lang w:val="en-US" w:eastAsia="zh-CN"/>
        </w:rPr>
      </w:pPr>
      <w:r>
        <w:rPr>
          <w:rFonts w:hint="eastAsia" w:asciiTheme="majorEastAsia" w:hAnsiTheme="majorEastAsia" w:eastAsiaTheme="majorEastAsia" w:cstheme="majorEastAsia"/>
          <w:b/>
          <w:bCs/>
          <w:color w:val="auto"/>
          <w:sz w:val="28"/>
          <w:szCs w:val="28"/>
          <w:lang w:val="en-US" w:eastAsia="zh-CN"/>
        </w:rPr>
        <w:t>六、免测、缓测、补测</w:t>
      </w:r>
    </w:p>
    <w:p w14:paraId="5F0554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1、</w:t>
      </w:r>
      <w:r>
        <w:rPr>
          <w:rFonts w:hint="eastAsia" w:asciiTheme="majorEastAsia" w:hAnsiTheme="majorEastAsia" w:eastAsiaTheme="majorEastAsia" w:cstheme="majorEastAsia"/>
          <w:color w:val="auto"/>
          <w:sz w:val="28"/>
          <w:szCs w:val="28"/>
        </w:rPr>
        <w:t>学生因病或残疾可向学校提交暂缓或免予执行</w:t>
      </w:r>
      <w:r>
        <w:rPr>
          <w:rFonts w:hint="eastAsia" w:asciiTheme="majorEastAsia" w:hAnsiTheme="majorEastAsia" w:eastAsiaTheme="majorEastAsia" w:cstheme="majorEastAsia"/>
          <w:color w:val="auto"/>
          <w:sz w:val="28"/>
          <w:szCs w:val="28"/>
          <w:lang w:val="en-US" w:eastAsia="zh-CN"/>
        </w:rPr>
        <w:t>体质健康测试</w:t>
      </w:r>
      <w:r>
        <w:rPr>
          <w:rFonts w:hint="eastAsia" w:asciiTheme="majorEastAsia" w:hAnsiTheme="majorEastAsia" w:eastAsiaTheme="majorEastAsia" w:cstheme="majorEastAsia"/>
          <w:color w:val="auto"/>
          <w:sz w:val="28"/>
          <w:szCs w:val="28"/>
        </w:rPr>
        <w:t>的申请，经医疗单位</w:t>
      </w:r>
      <w:r>
        <w:rPr>
          <w:rFonts w:hint="eastAsia" w:asciiTheme="majorEastAsia" w:hAnsiTheme="majorEastAsia" w:eastAsiaTheme="majorEastAsia" w:cstheme="majorEastAsia"/>
          <w:color w:val="auto"/>
          <w:sz w:val="28"/>
          <w:szCs w:val="28"/>
          <w:lang w:eastAsia="zh-CN"/>
        </w:rPr>
        <w:t>（三甲以上）</w:t>
      </w:r>
      <w:r>
        <w:rPr>
          <w:rFonts w:hint="eastAsia" w:asciiTheme="majorEastAsia" w:hAnsiTheme="majorEastAsia" w:eastAsiaTheme="majorEastAsia" w:cstheme="majorEastAsia"/>
          <w:color w:val="auto"/>
          <w:sz w:val="28"/>
          <w:szCs w:val="28"/>
        </w:rPr>
        <w:t>证明，</w:t>
      </w:r>
      <w:r>
        <w:rPr>
          <w:rFonts w:hint="eastAsia" w:asciiTheme="majorEastAsia" w:hAnsiTheme="majorEastAsia" w:eastAsiaTheme="majorEastAsia" w:cstheme="majorEastAsia"/>
          <w:color w:val="auto"/>
          <w:sz w:val="28"/>
          <w:szCs w:val="28"/>
          <w:lang w:eastAsia="zh-CN"/>
        </w:rPr>
        <w:t>体质测试中心</w:t>
      </w:r>
      <w:r>
        <w:rPr>
          <w:rFonts w:hint="eastAsia" w:asciiTheme="majorEastAsia" w:hAnsiTheme="majorEastAsia" w:eastAsiaTheme="majorEastAsia" w:cstheme="majorEastAsia"/>
          <w:color w:val="auto"/>
          <w:sz w:val="28"/>
          <w:szCs w:val="28"/>
        </w:rPr>
        <w:t>核准，可暂缓或免予执行</w:t>
      </w:r>
      <w:r>
        <w:rPr>
          <w:rFonts w:hint="eastAsia" w:asciiTheme="majorEastAsia" w:hAnsiTheme="majorEastAsia" w:eastAsiaTheme="majorEastAsia" w:cstheme="majorEastAsia"/>
          <w:color w:val="auto"/>
          <w:sz w:val="28"/>
          <w:szCs w:val="28"/>
          <w:lang w:val="en-US" w:eastAsia="zh-CN"/>
        </w:rPr>
        <w:t>体质健康测试</w:t>
      </w:r>
      <w:r>
        <w:rPr>
          <w:rFonts w:hint="eastAsia" w:asciiTheme="majorEastAsia" w:hAnsiTheme="majorEastAsia" w:eastAsiaTheme="majorEastAsia" w:cstheme="majorEastAsia"/>
          <w:color w:val="auto"/>
          <w:sz w:val="28"/>
          <w:szCs w:val="28"/>
        </w:rPr>
        <w:t>，存入学生档案。确实丧失运动能力、被免予执行</w:t>
      </w:r>
      <w:r>
        <w:rPr>
          <w:rFonts w:hint="eastAsia" w:asciiTheme="majorEastAsia" w:hAnsiTheme="majorEastAsia" w:eastAsiaTheme="majorEastAsia" w:cstheme="majorEastAsia"/>
          <w:color w:val="auto"/>
          <w:sz w:val="28"/>
          <w:szCs w:val="28"/>
          <w:lang w:val="en-US" w:eastAsia="zh-CN"/>
        </w:rPr>
        <w:t>体质健康测试</w:t>
      </w:r>
      <w:r>
        <w:rPr>
          <w:rFonts w:hint="eastAsia" w:asciiTheme="majorEastAsia" w:hAnsiTheme="majorEastAsia" w:eastAsiaTheme="majorEastAsia" w:cstheme="majorEastAsia"/>
          <w:color w:val="auto"/>
          <w:sz w:val="28"/>
          <w:szCs w:val="28"/>
        </w:rPr>
        <w:t>的残疾学生，仍可参加评优与评奖，毕业时</w:t>
      </w:r>
      <w:r>
        <w:rPr>
          <w:rFonts w:hint="eastAsia" w:asciiTheme="majorEastAsia" w:hAnsiTheme="majorEastAsia" w:eastAsiaTheme="majorEastAsia" w:cstheme="majorEastAsia"/>
          <w:color w:val="auto"/>
          <w:sz w:val="28"/>
          <w:szCs w:val="28"/>
          <w:lang w:val="en-US" w:eastAsia="zh-CN"/>
        </w:rPr>
        <w:t>体质健康测试</w:t>
      </w:r>
      <w:r>
        <w:rPr>
          <w:rFonts w:hint="eastAsia" w:asciiTheme="majorEastAsia" w:hAnsiTheme="majorEastAsia" w:eastAsiaTheme="majorEastAsia" w:cstheme="majorEastAsia"/>
          <w:color w:val="auto"/>
          <w:sz w:val="28"/>
          <w:szCs w:val="28"/>
        </w:rPr>
        <w:t>成绩需注明免测。</w:t>
      </w:r>
    </w:p>
    <w:p w14:paraId="7803A5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firstLineChars="200"/>
        <w:textAlignment w:val="auto"/>
        <w:rPr>
          <w:rFonts w:hint="eastAsia" w:asciiTheme="majorEastAsia" w:hAnsiTheme="majorEastAsia" w:eastAsiaTheme="majorEastAsia" w:cstheme="majorEastAsia"/>
          <w:color w:val="auto"/>
          <w:sz w:val="28"/>
          <w:szCs w:val="28"/>
          <w:u w:val="none"/>
        </w:rPr>
      </w:pPr>
      <w:r>
        <w:rPr>
          <w:rFonts w:hint="eastAsia" w:asciiTheme="majorEastAsia" w:hAnsiTheme="majorEastAsia" w:eastAsiaTheme="majorEastAsia" w:cstheme="majorEastAsia"/>
          <w:color w:val="auto"/>
          <w:sz w:val="28"/>
          <w:szCs w:val="28"/>
          <w:lang w:val="en-US" w:eastAsia="zh-CN"/>
        </w:rPr>
        <w:t>2、</w:t>
      </w:r>
      <w:r>
        <w:rPr>
          <w:rFonts w:hint="eastAsia" w:asciiTheme="majorEastAsia" w:hAnsiTheme="majorEastAsia" w:eastAsiaTheme="majorEastAsia" w:cstheme="majorEastAsia"/>
          <w:color w:val="auto"/>
          <w:sz w:val="28"/>
          <w:szCs w:val="28"/>
          <w:u w:val="none"/>
        </w:rPr>
        <w:t>在校学生每学年</w:t>
      </w:r>
      <w:r>
        <w:rPr>
          <w:rFonts w:hint="eastAsia" w:asciiTheme="majorEastAsia" w:hAnsiTheme="majorEastAsia" w:eastAsiaTheme="majorEastAsia" w:cstheme="majorEastAsia"/>
          <w:color w:val="auto"/>
          <w:sz w:val="28"/>
          <w:szCs w:val="28"/>
          <w:u w:val="none"/>
          <w:lang w:eastAsia="zh-CN"/>
        </w:rPr>
        <w:t>进行</w:t>
      </w:r>
      <w:r>
        <w:rPr>
          <w:rFonts w:hint="eastAsia" w:asciiTheme="majorEastAsia" w:hAnsiTheme="majorEastAsia" w:eastAsiaTheme="majorEastAsia" w:cstheme="majorEastAsia"/>
          <w:color w:val="auto"/>
          <w:sz w:val="28"/>
          <w:szCs w:val="28"/>
          <w:u w:val="none"/>
        </w:rPr>
        <w:t>一次体质</w:t>
      </w:r>
      <w:r>
        <w:rPr>
          <w:rFonts w:hint="eastAsia" w:asciiTheme="majorEastAsia" w:hAnsiTheme="majorEastAsia" w:eastAsiaTheme="majorEastAsia" w:cstheme="majorEastAsia"/>
          <w:color w:val="auto"/>
          <w:sz w:val="28"/>
          <w:szCs w:val="28"/>
          <w:u w:val="none"/>
          <w:lang w:eastAsia="zh-CN"/>
        </w:rPr>
        <w:t>达标测试</w:t>
      </w:r>
      <w:r>
        <w:rPr>
          <w:rFonts w:hint="eastAsia" w:asciiTheme="majorEastAsia" w:hAnsiTheme="majorEastAsia" w:eastAsiaTheme="majorEastAsia" w:cstheme="majorEastAsia"/>
          <w:color w:val="auto"/>
          <w:sz w:val="28"/>
          <w:szCs w:val="28"/>
          <w:u w:val="none"/>
        </w:rPr>
        <w:t>，</w:t>
      </w:r>
      <w:r>
        <w:rPr>
          <w:rFonts w:hint="eastAsia" w:asciiTheme="majorEastAsia" w:hAnsiTheme="majorEastAsia" w:eastAsiaTheme="majorEastAsia" w:cstheme="majorEastAsia"/>
          <w:color w:val="auto"/>
          <w:sz w:val="28"/>
          <w:szCs w:val="28"/>
          <w:u w:val="none"/>
          <w:lang w:eastAsia="zh-CN"/>
        </w:rPr>
        <w:t>申请缓测或</w:t>
      </w:r>
      <w:r>
        <w:rPr>
          <w:rFonts w:hint="eastAsia" w:asciiTheme="majorEastAsia" w:hAnsiTheme="majorEastAsia" w:eastAsiaTheme="majorEastAsia" w:cstheme="majorEastAsia"/>
          <w:color w:val="auto"/>
          <w:sz w:val="28"/>
          <w:szCs w:val="28"/>
          <w:u w:val="none"/>
        </w:rPr>
        <w:t>成绩不合格者，在本学年度准予补测一次，补测仍不及格者，可以到学校教务处办理补考申请手续后，参加每年1</w:t>
      </w:r>
      <w:r>
        <w:rPr>
          <w:rFonts w:hint="eastAsia" w:asciiTheme="majorEastAsia" w:hAnsiTheme="majorEastAsia" w:eastAsiaTheme="majorEastAsia" w:cstheme="majorEastAsia"/>
          <w:color w:val="auto"/>
          <w:sz w:val="28"/>
          <w:szCs w:val="28"/>
          <w:u w:val="none"/>
          <w:lang w:val="en-US" w:eastAsia="zh-CN"/>
        </w:rPr>
        <w:t>2</w:t>
      </w:r>
      <w:r>
        <w:rPr>
          <w:rFonts w:hint="eastAsia" w:asciiTheme="majorEastAsia" w:hAnsiTheme="majorEastAsia" w:eastAsiaTheme="majorEastAsia" w:cstheme="majorEastAsia"/>
          <w:color w:val="auto"/>
          <w:sz w:val="28"/>
          <w:szCs w:val="28"/>
          <w:u w:val="none"/>
        </w:rPr>
        <w:t>月初（暂定）的集中补测，补测不合格者，则</w:t>
      </w:r>
      <w:r>
        <w:rPr>
          <w:rFonts w:hint="eastAsia" w:asciiTheme="majorEastAsia" w:hAnsiTheme="majorEastAsia" w:eastAsiaTheme="majorEastAsia" w:cstheme="majorEastAsia"/>
          <w:color w:val="auto"/>
          <w:sz w:val="28"/>
          <w:szCs w:val="28"/>
          <w:u w:val="none"/>
          <w:lang w:val="en-US" w:eastAsia="zh-CN"/>
        </w:rPr>
        <w:t>本</w:t>
      </w:r>
      <w:r>
        <w:rPr>
          <w:rFonts w:hint="eastAsia" w:asciiTheme="majorEastAsia" w:hAnsiTheme="majorEastAsia" w:eastAsiaTheme="majorEastAsia" w:cstheme="majorEastAsia"/>
          <w:color w:val="auto"/>
          <w:sz w:val="28"/>
          <w:szCs w:val="28"/>
          <w:u w:val="none"/>
        </w:rPr>
        <w:t>学年</w:t>
      </w:r>
      <w:r>
        <w:rPr>
          <w:rFonts w:hint="eastAsia" w:asciiTheme="majorEastAsia" w:hAnsiTheme="majorEastAsia" w:eastAsiaTheme="majorEastAsia" w:cstheme="majorEastAsia"/>
          <w:color w:val="auto"/>
          <w:sz w:val="28"/>
          <w:szCs w:val="28"/>
          <w:u w:val="none"/>
          <w:lang w:val="en-US" w:eastAsia="zh-CN"/>
        </w:rPr>
        <w:t>体质测试</w:t>
      </w:r>
      <w:r>
        <w:rPr>
          <w:rFonts w:hint="eastAsia" w:asciiTheme="majorEastAsia" w:hAnsiTheme="majorEastAsia" w:eastAsiaTheme="majorEastAsia" w:cstheme="majorEastAsia"/>
          <w:color w:val="auto"/>
          <w:sz w:val="28"/>
          <w:szCs w:val="28"/>
          <w:u w:val="none"/>
        </w:rPr>
        <w:t>成绩为不及格。</w:t>
      </w:r>
    </w:p>
    <w:p w14:paraId="187ACE6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color w:val="auto"/>
          <w:sz w:val="28"/>
          <w:szCs w:val="28"/>
          <w:u w:val="none"/>
        </w:rPr>
      </w:pPr>
      <w:r>
        <w:rPr>
          <w:rFonts w:hint="eastAsia" w:asciiTheme="majorEastAsia" w:hAnsiTheme="majorEastAsia" w:eastAsiaTheme="majorEastAsia" w:cstheme="majorEastAsia"/>
          <w:color w:val="auto"/>
          <w:sz w:val="28"/>
          <w:szCs w:val="28"/>
          <w:u w:val="none"/>
          <w:lang w:val="en-US" w:eastAsia="zh-CN"/>
        </w:rPr>
        <w:t>3、</w:t>
      </w:r>
      <w:r>
        <w:rPr>
          <w:rFonts w:hint="eastAsia" w:asciiTheme="majorEastAsia" w:hAnsiTheme="majorEastAsia" w:eastAsiaTheme="majorEastAsia" w:cstheme="majorEastAsia"/>
          <w:color w:val="auto"/>
          <w:sz w:val="28"/>
          <w:szCs w:val="28"/>
          <w:u w:val="none"/>
          <w:lang w:eastAsia="zh-CN"/>
        </w:rPr>
        <w:t>毕业生因</w:t>
      </w:r>
      <w:r>
        <w:rPr>
          <w:rFonts w:hint="eastAsia" w:asciiTheme="majorEastAsia" w:hAnsiTheme="majorEastAsia" w:eastAsiaTheme="majorEastAsia" w:cstheme="majorEastAsia"/>
          <w:color w:val="auto"/>
          <w:sz w:val="28"/>
          <w:szCs w:val="28"/>
          <w:u w:val="none"/>
          <w:lang w:val="en-US" w:eastAsia="zh-CN"/>
        </w:rPr>
        <w:t>体质健康测试</w:t>
      </w:r>
      <w:r>
        <w:rPr>
          <w:rFonts w:hint="eastAsia" w:asciiTheme="majorEastAsia" w:hAnsiTheme="majorEastAsia" w:eastAsiaTheme="majorEastAsia" w:cstheme="majorEastAsia"/>
          <w:color w:val="auto"/>
          <w:sz w:val="28"/>
          <w:szCs w:val="28"/>
          <w:u w:val="none"/>
          <w:lang w:eastAsia="zh-CN"/>
        </w:rPr>
        <w:t>成绩不合格或缺测未能</w:t>
      </w:r>
      <w:r>
        <w:rPr>
          <w:rFonts w:hint="eastAsia" w:asciiTheme="majorEastAsia" w:hAnsiTheme="majorEastAsia" w:eastAsiaTheme="majorEastAsia" w:cstheme="majorEastAsia"/>
          <w:color w:val="auto"/>
          <w:sz w:val="28"/>
          <w:szCs w:val="28"/>
          <w:u w:val="none"/>
        </w:rPr>
        <w:t>达到</w:t>
      </w:r>
      <w:r>
        <w:rPr>
          <w:rFonts w:hint="eastAsia" w:asciiTheme="majorEastAsia" w:hAnsiTheme="majorEastAsia" w:eastAsiaTheme="majorEastAsia" w:cstheme="majorEastAsia"/>
          <w:color w:val="auto"/>
          <w:sz w:val="28"/>
          <w:szCs w:val="28"/>
          <w:u w:val="none"/>
          <w:lang w:val="en-US" w:eastAsia="zh-CN"/>
        </w:rPr>
        <w:t>体质健康测试</w:t>
      </w:r>
      <w:r>
        <w:rPr>
          <w:rFonts w:hint="eastAsia" w:asciiTheme="majorEastAsia" w:hAnsiTheme="majorEastAsia" w:eastAsiaTheme="majorEastAsia" w:cstheme="majorEastAsia"/>
          <w:color w:val="auto"/>
          <w:sz w:val="28"/>
          <w:szCs w:val="28"/>
          <w:u w:val="none"/>
        </w:rPr>
        <w:t>的要求</w:t>
      </w:r>
      <w:r>
        <w:rPr>
          <w:rFonts w:hint="eastAsia" w:asciiTheme="majorEastAsia" w:hAnsiTheme="majorEastAsia" w:eastAsiaTheme="majorEastAsia" w:cstheme="majorEastAsia"/>
          <w:color w:val="auto"/>
          <w:sz w:val="28"/>
          <w:szCs w:val="28"/>
          <w:u w:val="none"/>
          <w:lang w:eastAsia="zh-CN"/>
        </w:rPr>
        <w:t>，</w:t>
      </w:r>
      <w:r>
        <w:rPr>
          <w:rFonts w:hint="eastAsia" w:asciiTheme="majorEastAsia" w:hAnsiTheme="majorEastAsia" w:eastAsiaTheme="majorEastAsia" w:cstheme="majorEastAsia"/>
          <w:color w:val="auto"/>
          <w:sz w:val="28"/>
          <w:szCs w:val="28"/>
          <w:u w:val="none"/>
        </w:rPr>
        <w:t>每学年5月初可到学校教务处申请办理补考手续，参加毕业前的补测。</w:t>
      </w:r>
    </w:p>
    <w:p w14:paraId="623ADF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Theme="majorEastAsia" w:hAnsiTheme="majorEastAsia" w:eastAsiaTheme="majorEastAsia" w:cstheme="majorEastAsia"/>
          <w:b/>
          <w:bCs/>
          <w:color w:val="auto"/>
          <w:sz w:val="28"/>
          <w:szCs w:val="28"/>
          <w:lang w:val="en-US" w:eastAsia="zh-CN"/>
        </w:rPr>
      </w:pPr>
      <w:r>
        <w:rPr>
          <w:rFonts w:hint="eastAsia" w:asciiTheme="majorEastAsia" w:hAnsiTheme="majorEastAsia" w:eastAsiaTheme="majorEastAsia" w:cstheme="majorEastAsia"/>
          <w:b/>
          <w:bCs/>
          <w:color w:val="auto"/>
          <w:sz w:val="28"/>
          <w:szCs w:val="28"/>
          <w:lang w:val="en-US" w:eastAsia="zh-CN"/>
        </w:rPr>
        <w:t>七、测试要求</w:t>
      </w:r>
    </w:p>
    <w:p w14:paraId="01FDEB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1、学生在校期间每学年都需参加测试，学生应按照测试时间安排表，按时参加所有测试项目，测试成绩不合格者需进行补测。</w:t>
      </w:r>
    </w:p>
    <w:p w14:paraId="46BEB7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val="en-US" w:eastAsia="zh-CN"/>
        </w:rPr>
        <w:t>2、</w:t>
      </w:r>
      <w:r>
        <w:rPr>
          <w:rFonts w:hint="eastAsia" w:asciiTheme="majorEastAsia" w:hAnsiTheme="majorEastAsia" w:eastAsiaTheme="majorEastAsia" w:cstheme="majorEastAsia"/>
          <w:color w:val="auto"/>
          <w:sz w:val="28"/>
          <w:szCs w:val="28"/>
        </w:rPr>
        <w:t>测试前调整好身体状态，</w:t>
      </w:r>
      <w:r>
        <w:rPr>
          <w:rFonts w:hint="eastAsia" w:asciiTheme="majorEastAsia" w:hAnsiTheme="majorEastAsia" w:eastAsiaTheme="majorEastAsia" w:cstheme="majorEastAsia"/>
          <w:color w:val="auto"/>
          <w:sz w:val="28"/>
          <w:szCs w:val="28"/>
          <w:lang w:eastAsia="zh-CN"/>
        </w:rPr>
        <w:t>请勿熬夜、通宵，及时就餐，保障测试过程中体能消耗，</w:t>
      </w:r>
      <w:r>
        <w:rPr>
          <w:rFonts w:hint="eastAsia" w:asciiTheme="majorEastAsia" w:hAnsiTheme="majorEastAsia" w:eastAsiaTheme="majorEastAsia" w:cstheme="majorEastAsia"/>
          <w:color w:val="auto"/>
          <w:sz w:val="28"/>
          <w:szCs w:val="28"/>
        </w:rPr>
        <w:t>做好充分的准备</w:t>
      </w:r>
      <w:r>
        <w:rPr>
          <w:rFonts w:hint="eastAsia" w:asciiTheme="majorEastAsia" w:hAnsiTheme="majorEastAsia" w:eastAsiaTheme="majorEastAsia" w:cstheme="majorEastAsia"/>
          <w:color w:val="auto"/>
          <w:sz w:val="28"/>
          <w:szCs w:val="28"/>
          <w:lang w:eastAsia="zh-CN"/>
        </w:rPr>
        <w:t>。</w:t>
      </w:r>
    </w:p>
    <w:p w14:paraId="61D9F8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auto"/>
          <w:sz w:val="28"/>
          <w:szCs w:val="28"/>
          <w:lang w:val="en-US" w:eastAsia="zh-CN"/>
        </w:rPr>
        <w:t>3、测试前请各班体委组织做好热身活动，以免测试过程中受伤或意外情况出现，</w:t>
      </w:r>
      <w:r>
        <w:rPr>
          <w:rFonts w:hint="eastAsia" w:asciiTheme="majorEastAsia" w:hAnsiTheme="majorEastAsia" w:eastAsiaTheme="majorEastAsia" w:cstheme="majorEastAsia"/>
          <w:color w:val="auto"/>
          <w:sz w:val="28"/>
          <w:szCs w:val="28"/>
        </w:rPr>
        <w:t>为保证学生的测试安全，要求学生测试时必须着运动服、</w:t>
      </w:r>
      <w:r>
        <w:rPr>
          <w:rFonts w:hint="eastAsia" w:asciiTheme="majorEastAsia" w:hAnsiTheme="majorEastAsia" w:eastAsiaTheme="majorEastAsia" w:cstheme="majorEastAsia"/>
          <w:sz w:val="28"/>
          <w:szCs w:val="28"/>
        </w:rPr>
        <w:t>运动鞋。</w:t>
      </w:r>
    </w:p>
    <w:p w14:paraId="5B1039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4、测试时必须携带本人身份证，身份证遗失可以到本学院学工办开具本人身份信息证明，否则不能参加测试，当次测试成绩记为缺测。</w:t>
      </w:r>
    </w:p>
    <w:p w14:paraId="3BAC58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5、做好安全保障，排查学生身体的重大疾病等状况，对有严重病变的实行免测。女生生理期、急性病患者、测试前发过高烧、腹泻等急性病、体力尚未恢复者可缓测。</w:t>
      </w:r>
    </w:p>
    <w:p w14:paraId="13D1B9B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6、测试过程中一旦发现弄虚作假、测试作弊等行为，将按照相关规定处理。</w:t>
      </w:r>
    </w:p>
    <w:p w14:paraId="7630A9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八、安全保障</w:t>
      </w:r>
    </w:p>
    <w:p w14:paraId="32FC57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w:t>
      </w:r>
      <w:r>
        <w:rPr>
          <w:rFonts w:hint="eastAsia" w:asciiTheme="majorEastAsia" w:hAnsiTheme="majorEastAsia" w:eastAsiaTheme="majorEastAsia" w:cstheme="majorEastAsia"/>
          <w:color w:val="auto"/>
          <w:sz w:val="28"/>
          <w:szCs w:val="28"/>
          <w:lang w:val="en-US" w:eastAsia="zh-CN"/>
        </w:rPr>
        <w:t>测试工作小组</w:t>
      </w:r>
      <w:r>
        <w:rPr>
          <w:rFonts w:hint="eastAsia" w:asciiTheme="majorEastAsia" w:hAnsiTheme="majorEastAsia" w:eastAsiaTheme="majorEastAsia" w:cstheme="majorEastAsia"/>
          <w:sz w:val="28"/>
          <w:szCs w:val="28"/>
          <w:lang w:val="en-US" w:eastAsia="zh-CN"/>
        </w:rPr>
        <w:t>确保测试过程中的安全保障工作，确保测试设备的安全性和可靠性，防止意外事故的发生，定期维护和更换设备。</w:t>
      </w:r>
    </w:p>
    <w:p w14:paraId="6554D9E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sz w:val="28"/>
          <w:szCs w:val="28"/>
          <w:lang w:val="en-US" w:eastAsia="zh-CN"/>
        </w:rPr>
        <w:t>2、</w:t>
      </w:r>
      <w:r>
        <w:rPr>
          <w:rFonts w:hint="eastAsia" w:asciiTheme="majorEastAsia" w:hAnsiTheme="majorEastAsia" w:eastAsiaTheme="majorEastAsia" w:cstheme="majorEastAsia"/>
          <w:color w:val="000000"/>
          <w:sz w:val="28"/>
          <w:szCs w:val="28"/>
        </w:rPr>
        <w:t>测试前加强运动安全的宣传和测试过程中的安全防护工作</w:t>
      </w:r>
      <w:r>
        <w:rPr>
          <w:rFonts w:hint="eastAsia" w:asciiTheme="majorEastAsia" w:hAnsiTheme="majorEastAsia" w:eastAsiaTheme="majorEastAsia" w:cstheme="majorEastAsia"/>
          <w:color w:val="000000"/>
          <w:sz w:val="28"/>
          <w:szCs w:val="28"/>
          <w:lang w:eastAsia="zh-CN"/>
        </w:rPr>
        <w:t>，</w:t>
      </w:r>
      <w:r>
        <w:rPr>
          <w:rFonts w:hint="eastAsia" w:asciiTheme="majorEastAsia" w:hAnsiTheme="majorEastAsia" w:eastAsiaTheme="majorEastAsia" w:cstheme="majorEastAsia"/>
          <w:color w:val="000000"/>
          <w:sz w:val="28"/>
          <w:szCs w:val="28"/>
        </w:rPr>
        <w:t>学生必须认真阅读《体质健康测试须知》。</w:t>
      </w:r>
    </w:p>
    <w:p w14:paraId="5B9F99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Theme="majorEastAsia" w:hAnsiTheme="majorEastAsia" w:eastAsiaTheme="majorEastAsia" w:cstheme="majorEastAsia"/>
          <w:b/>
          <w:color w:val="000000"/>
          <w:sz w:val="28"/>
          <w:szCs w:val="28"/>
          <w:lang w:val="en-US" w:eastAsia="zh-CN"/>
        </w:rPr>
      </w:pPr>
      <w:r>
        <w:rPr>
          <w:rFonts w:hint="eastAsia" w:asciiTheme="majorEastAsia" w:hAnsiTheme="majorEastAsia" w:eastAsiaTheme="majorEastAsia" w:cstheme="majorEastAsia"/>
          <w:b/>
          <w:bCs/>
          <w:sz w:val="28"/>
          <w:szCs w:val="28"/>
          <w:lang w:val="en-US" w:eastAsia="zh-CN"/>
        </w:rPr>
        <w:t>九、</w:t>
      </w:r>
      <w:r>
        <w:rPr>
          <w:rFonts w:hint="eastAsia" w:asciiTheme="majorEastAsia" w:hAnsiTheme="majorEastAsia" w:eastAsiaTheme="majorEastAsia" w:cstheme="majorEastAsia"/>
          <w:b/>
          <w:color w:val="000000"/>
          <w:sz w:val="28"/>
          <w:szCs w:val="28"/>
          <w:lang w:eastAsia="zh-CN"/>
        </w:rPr>
        <w:t>测试现场突发事件处理预案</w:t>
      </w:r>
    </w:p>
    <w:p w14:paraId="1564BDE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b w:val="0"/>
          <w:bCs w:val="0"/>
          <w:color w:val="000000"/>
          <w:sz w:val="28"/>
          <w:szCs w:val="28"/>
        </w:rPr>
      </w:pPr>
      <w:r>
        <w:rPr>
          <w:rFonts w:hint="eastAsia" w:asciiTheme="majorEastAsia" w:hAnsiTheme="majorEastAsia" w:eastAsiaTheme="majorEastAsia" w:cstheme="majorEastAsia"/>
          <w:b w:val="0"/>
          <w:bCs w:val="0"/>
          <w:color w:val="000000"/>
          <w:sz w:val="28"/>
          <w:szCs w:val="28"/>
          <w:lang w:val="en-US" w:eastAsia="zh-CN"/>
        </w:rPr>
        <w:t>1、</w:t>
      </w:r>
      <w:r>
        <w:rPr>
          <w:rFonts w:hint="eastAsia" w:asciiTheme="majorEastAsia" w:hAnsiTheme="majorEastAsia" w:eastAsiaTheme="majorEastAsia" w:cstheme="majorEastAsia"/>
          <w:b w:val="0"/>
          <w:bCs w:val="0"/>
          <w:color w:val="000000"/>
          <w:sz w:val="28"/>
          <w:szCs w:val="28"/>
        </w:rPr>
        <w:t>在测试过程中，测试人员、校医必须密切关注学生的身体健康状况，特别是进行身体素质项目测试时尤为注意。</w:t>
      </w:r>
    </w:p>
    <w:p w14:paraId="548AA27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b w:val="0"/>
          <w:bCs w:val="0"/>
          <w:color w:val="000000"/>
          <w:sz w:val="28"/>
          <w:szCs w:val="28"/>
        </w:rPr>
      </w:pPr>
      <w:r>
        <w:rPr>
          <w:rFonts w:hint="eastAsia" w:asciiTheme="majorEastAsia" w:hAnsiTheme="majorEastAsia" w:eastAsiaTheme="majorEastAsia" w:cstheme="majorEastAsia"/>
          <w:b w:val="0"/>
          <w:bCs w:val="0"/>
          <w:color w:val="000000"/>
          <w:sz w:val="28"/>
          <w:szCs w:val="28"/>
          <w:lang w:val="en-US" w:eastAsia="zh-CN"/>
        </w:rPr>
        <w:t>2、</w:t>
      </w:r>
      <w:r>
        <w:rPr>
          <w:rFonts w:hint="eastAsia" w:asciiTheme="majorEastAsia" w:hAnsiTheme="majorEastAsia" w:eastAsiaTheme="majorEastAsia" w:cstheme="majorEastAsia"/>
          <w:b w:val="0"/>
          <w:bCs w:val="0"/>
          <w:color w:val="000000"/>
          <w:sz w:val="28"/>
          <w:szCs w:val="28"/>
        </w:rPr>
        <w:t>如学生出现擦伤、裂伤、挫伤、扭伤，肌肉痉挛（抽筋）、肌肉拉伤、跌倒、运动中腹痛、冻伤、咳嗽不止等意外伤害事件时，要立刻停止测试,及时救治，必要时立刻拨打120，不得错过救治的最佳时期。</w:t>
      </w:r>
    </w:p>
    <w:p w14:paraId="21C4161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b w:val="0"/>
          <w:bCs w:val="0"/>
          <w:color w:val="000000"/>
          <w:sz w:val="28"/>
          <w:szCs w:val="28"/>
        </w:rPr>
      </w:pPr>
      <w:r>
        <w:rPr>
          <w:rFonts w:hint="eastAsia" w:asciiTheme="majorEastAsia" w:hAnsiTheme="majorEastAsia" w:eastAsiaTheme="majorEastAsia" w:cstheme="majorEastAsia"/>
          <w:b w:val="0"/>
          <w:bCs w:val="0"/>
          <w:color w:val="000000"/>
          <w:sz w:val="28"/>
          <w:szCs w:val="28"/>
          <w:lang w:val="en-US" w:eastAsia="zh-CN"/>
        </w:rPr>
        <w:t>3、</w:t>
      </w:r>
      <w:r>
        <w:rPr>
          <w:rFonts w:hint="eastAsia" w:asciiTheme="majorEastAsia" w:hAnsiTheme="majorEastAsia" w:eastAsiaTheme="majorEastAsia" w:cstheme="majorEastAsia"/>
          <w:b w:val="0"/>
          <w:bCs w:val="0"/>
          <w:color w:val="000000"/>
          <w:sz w:val="28"/>
          <w:szCs w:val="28"/>
        </w:rPr>
        <w:t>若学生出现头晕目眩、神志不清、头疼、晕厥、中暑、运动性脱水、休克、开放性损伤、骨折、关节脱臼、胸闷、胸疼、心慌（心悸）、呼吸困难、呕吐、全身抽搐、口吐白沫等严重伤害事件时，必须立刻停止测试，立刻拨打120，及时送到医院救治，</w:t>
      </w:r>
      <w:r>
        <w:rPr>
          <w:rFonts w:hint="eastAsia" w:asciiTheme="majorEastAsia" w:hAnsiTheme="majorEastAsia" w:eastAsiaTheme="majorEastAsia" w:cstheme="majorEastAsia"/>
          <w:b w:val="0"/>
          <w:bCs w:val="0"/>
          <w:color w:val="000000"/>
          <w:sz w:val="28"/>
          <w:szCs w:val="28"/>
          <w:lang w:eastAsia="zh-CN"/>
        </w:rPr>
        <w:t>测试负责人</w:t>
      </w:r>
      <w:r>
        <w:rPr>
          <w:rFonts w:hint="eastAsia" w:asciiTheme="majorEastAsia" w:hAnsiTheme="majorEastAsia" w:eastAsiaTheme="majorEastAsia" w:cstheme="majorEastAsia"/>
          <w:b w:val="0"/>
          <w:bCs w:val="0"/>
          <w:color w:val="000000"/>
          <w:sz w:val="28"/>
          <w:szCs w:val="28"/>
        </w:rPr>
        <w:t>要指派专人跟踪事件处理的全过程。</w:t>
      </w:r>
    </w:p>
    <w:p w14:paraId="64B117B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b w:val="0"/>
          <w:bCs w:val="0"/>
          <w:color w:val="000000"/>
          <w:sz w:val="28"/>
          <w:szCs w:val="28"/>
        </w:rPr>
      </w:pPr>
      <w:r>
        <w:rPr>
          <w:rFonts w:hint="eastAsia" w:asciiTheme="majorEastAsia" w:hAnsiTheme="majorEastAsia" w:eastAsiaTheme="majorEastAsia" w:cstheme="majorEastAsia"/>
          <w:b w:val="0"/>
          <w:bCs w:val="0"/>
          <w:color w:val="000000"/>
          <w:sz w:val="28"/>
          <w:szCs w:val="28"/>
          <w:lang w:val="en-US" w:eastAsia="zh-CN"/>
        </w:rPr>
        <w:t>4、</w:t>
      </w:r>
      <w:r>
        <w:rPr>
          <w:rFonts w:hint="eastAsia" w:asciiTheme="majorEastAsia" w:hAnsiTheme="majorEastAsia" w:eastAsiaTheme="majorEastAsia" w:cstheme="majorEastAsia"/>
          <w:b w:val="0"/>
          <w:bCs w:val="0"/>
          <w:color w:val="000000"/>
          <w:sz w:val="28"/>
          <w:szCs w:val="28"/>
          <w:lang w:eastAsia="zh-CN"/>
        </w:rPr>
        <w:t>测试员</w:t>
      </w:r>
      <w:r>
        <w:rPr>
          <w:rFonts w:hint="eastAsia" w:asciiTheme="majorEastAsia" w:hAnsiTheme="majorEastAsia" w:eastAsiaTheme="majorEastAsia" w:cstheme="majorEastAsia"/>
          <w:b w:val="0"/>
          <w:bCs w:val="0"/>
          <w:color w:val="000000"/>
          <w:sz w:val="28"/>
          <w:szCs w:val="28"/>
        </w:rPr>
        <w:t>要高度重视学生健康和测试安全，严禁在现场测试过程中发生严重的安全事故（如猝死）。</w:t>
      </w:r>
    </w:p>
    <w:p w14:paraId="0C0C04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b w:val="0"/>
          <w:bCs w:val="0"/>
          <w:color w:val="000000"/>
          <w:sz w:val="28"/>
          <w:szCs w:val="28"/>
        </w:rPr>
      </w:pPr>
      <w:r>
        <w:rPr>
          <w:rFonts w:hint="eastAsia" w:asciiTheme="majorEastAsia" w:hAnsiTheme="majorEastAsia" w:eastAsiaTheme="majorEastAsia" w:cstheme="majorEastAsia"/>
          <w:b w:val="0"/>
          <w:bCs w:val="0"/>
          <w:color w:val="000000"/>
          <w:sz w:val="28"/>
          <w:szCs w:val="28"/>
          <w:lang w:val="en-US" w:eastAsia="zh-CN"/>
        </w:rPr>
        <w:t>5、</w:t>
      </w:r>
      <w:r>
        <w:rPr>
          <w:rFonts w:hint="eastAsia" w:asciiTheme="majorEastAsia" w:hAnsiTheme="majorEastAsia" w:eastAsiaTheme="majorEastAsia" w:cstheme="majorEastAsia"/>
          <w:b w:val="0"/>
          <w:bCs w:val="0"/>
          <w:color w:val="000000"/>
          <w:sz w:val="28"/>
          <w:szCs w:val="28"/>
        </w:rPr>
        <w:t>在</w:t>
      </w:r>
      <w:r>
        <w:rPr>
          <w:rFonts w:hint="eastAsia" w:asciiTheme="majorEastAsia" w:hAnsiTheme="majorEastAsia" w:eastAsiaTheme="majorEastAsia" w:cstheme="majorEastAsia"/>
          <w:b w:val="0"/>
          <w:bCs w:val="0"/>
          <w:color w:val="000000"/>
          <w:sz w:val="28"/>
          <w:szCs w:val="28"/>
          <w:lang w:eastAsia="zh-CN"/>
        </w:rPr>
        <w:t>测试</w:t>
      </w:r>
      <w:r>
        <w:rPr>
          <w:rFonts w:hint="eastAsia" w:asciiTheme="majorEastAsia" w:hAnsiTheme="majorEastAsia" w:eastAsiaTheme="majorEastAsia" w:cstheme="majorEastAsia"/>
          <w:b w:val="0"/>
          <w:bCs w:val="0"/>
          <w:color w:val="000000"/>
          <w:sz w:val="28"/>
          <w:szCs w:val="28"/>
        </w:rPr>
        <w:t>过程中，</w:t>
      </w:r>
      <w:r>
        <w:rPr>
          <w:rFonts w:hint="eastAsia" w:asciiTheme="majorEastAsia" w:hAnsiTheme="majorEastAsia" w:eastAsiaTheme="majorEastAsia" w:cstheme="majorEastAsia"/>
          <w:b w:val="0"/>
          <w:bCs w:val="0"/>
          <w:color w:val="000000"/>
          <w:sz w:val="28"/>
          <w:szCs w:val="28"/>
          <w:lang w:eastAsia="zh-CN"/>
        </w:rPr>
        <w:t>学生</w:t>
      </w:r>
      <w:r>
        <w:rPr>
          <w:rFonts w:hint="eastAsia" w:asciiTheme="majorEastAsia" w:hAnsiTheme="majorEastAsia" w:eastAsiaTheme="majorEastAsia" w:cstheme="majorEastAsia"/>
          <w:b w:val="0"/>
          <w:bCs w:val="0"/>
          <w:color w:val="000000"/>
          <w:sz w:val="28"/>
          <w:szCs w:val="28"/>
        </w:rPr>
        <w:t>若</w:t>
      </w:r>
      <w:r>
        <w:rPr>
          <w:rFonts w:hint="eastAsia" w:asciiTheme="majorEastAsia" w:hAnsiTheme="majorEastAsia" w:eastAsiaTheme="majorEastAsia" w:cstheme="majorEastAsia"/>
          <w:b w:val="0"/>
          <w:bCs w:val="0"/>
          <w:color w:val="000000"/>
          <w:sz w:val="28"/>
          <w:szCs w:val="28"/>
          <w:lang w:eastAsia="zh-CN"/>
        </w:rPr>
        <w:t>有作弊行为，</w:t>
      </w:r>
      <w:r>
        <w:rPr>
          <w:rFonts w:hint="eastAsia" w:asciiTheme="majorEastAsia" w:hAnsiTheme="majorEastAsia" w:eastAsiaTheme="majorEastAsia" w:cstheme="majorEastAsia"/>
          <w:b w:val="0"/>
          <w:bCs w:val="0"/>
          <w:color w:val="000000"/>
          <w:sz w:val="28"/>
          <w:szCs w:val="28"/>
        </w:rPr>
        <w:t>要及时记录发生的事件，保留证据，</w:t>
      </w:r>
      <w:r>
        <w:rPr>
          <w:rFonts w:hint="eastAsia" w:asciiTheme="majorEastAsia" w:hAnsiTheme="majorEastAsia" w:eastAsiaTheme="majorEastAsia" w:cstheme="majorEastAsia"/>
          <w:b w:val="0"/>
          <w:bCs w:val="0"/>
          <w:color w:val="000000"/>
          <w:sz w:val="28"/>
          <w:szCs w:val="28"/>
          <w:lang w:eastAsia="zh-CN"/>
        </w:rPr>
        <w:t>交由学院处理</w:t>
      </w:r>
      <w:r>
        <w:rPr>
          <w:rFonts w:hint="eastAsia" w:asciiTheme="majorEastAsia" w:hAnsiTheme="majorEastAsia" w:eastAsiaTheme="majorEastAsia" w:cstheme="majorEastAsia"/>
          <w:b w:val="0"/>
          <w:bCs w:val="0"/>
          <w:color w:val="000000"/>
          <w:sz w:val="28"/>
          <w:szCs w:val="28"/>
        </w:rPr>
        <w:t>。常见的</w:t>
      </w:r>
      <w:r>
        <w:rPr>
          <w:rFonts w:hint="eastAsia" w:asciiTheme="majorEastAsia" w:hAnsiTheme="majorEastAsia" w:eastAsiaTheme="majorEastAsia" w:cstheme="majorEastAsia"/>
          <w:b w:val="0"/>
          <w:bCs w:val="0"/>
          <w:color w:val="000000"/>
          <w:sz w:val="28"/>
          <w:szCs w:val="28"/>
          <w:lang w:eastAsia="zh-CN"/>
        </w:rPr>
        <w:t>作弊</w:t>
      </w:r>
      <w:r>
        <w:rPr>
          <w:rFonts w:hint="eastAsia" w:asciiTheme="majorEastAsia" w:hAnsiTheme="majorEastAsia" w:eastAsiaTheme="majorEastAsia" w:cstheme="majorEastAsia"/>
          <w:b w:val="0"/>
          <w:bCs w:val="0"/>
          <w:color w:val="000000"/>
          <w:sz w:val="28"/>
          <w:szCs w:val="28"/>
        </w:rPr>
        <w:t>行为主要包括：</w:t>
      </w:r>
      <w:r>
        <w:rPr>
          <w:rFonts w:hint="eastAsia" w:asciiTheme="majorEastAsia" w:hAnsiTheme="majorEastAsia" w:eastAsiaTheme="majorEastAsia" w:cstheme="majorEastAsia"/>
          <w:b w:val="0"/>
          <w:bCs w:val="0"/>
          <w:color w:val="000000"/>
          <w:sz w:val="28"/>
          <w:szCs w:val="28"/>
          <w:lang w:eastAsia="zh-CN"/>
        </w:rPr>
        <w:t>抄近道</w:t>
      </w:r>
      <w:r>
        <w:rPr>
          <w:rFonts w:hint="eastAsia" w:asciiTheme="majorEastAsia" w:hAnsiTheme="majorEastAsia" w:eastAsiaTheme="majorEastAsia" w:cstheme="majorEastAsia"/>
          <w:b w:val="0"/>
          <w:bCs w:val="0"/>
          <w:color w:val="000000"/>
          <w:sz w:val="28"/>
          <w:szCs w:val="28"/>
        </w:rPr>
        <w:t>，</w:t>
      </w:r>
      <w:r>
        <w:rPr>
          <w:rFonts w:hint="eastAsia" w:asciiTheme="majorEastAsia" w:hAnsiTheme="majorEastAsia" w:eastAsiaTheme="majorEastAsia" w:cstheme="majorEastAsia"/>
          <w:b w:val="0"/>
          <w:bCs w:val="0"/>
          <w:color w:val="000000"/>
          <w:sz w:val="28"/>
          <w:szCs w:val="28"/>
          <w:lang w:eastAsia="zh-CN"/>
        </w:rPr>
        <w:t>故意漏圈，</w:t>
      </w:r>
      <w:r>
        <w:rPr>
          <w:rFonts w:hint="eastAsia" w:asciiTheme="majorEastAsia" w:hAnsiTheme="majorEastAsia" w:eastAsiaTheme="majorEastAsia" w:cstheme="majorEastAsia"/>
          <w:b w:val="0"/>
          <w:bCs w:val="0"/>
          <w:color w:val="000000"/>
          <w:sz w:val="28"/>
          <w:szCs w:val="28"/>
        </w:rPr>
        <w:t>冒名顶替等情况。</w:t>
      </w:r>
    </w:p>
    <w:p w14:paraId="4FAD21C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b w:val="0"/>
          <w:bCs w:val="0"/>
          <w:color w:val="000000"/>
          <w:sz w:val="28"/>
          <w:szCs w:val="28"/>
        </w:rPr>
      </w:pPr>
      <w:r>
        <w:rPr>
          <w:rFonts w:hint="eastAsia" w:asciiTheme="majorEastAsia" w:hAnsiTheme="majorEastAsia" w:eastAsiaTheme="majorEastAsia" w:cstheme="majorEastAsia"/>
          <w:b w:val="0"/>
          <w:bCs w:val="0"/>
          <w:color w:val="000000"/>
          <w:sz w:val="28"/>
          <w:szCs w:val="28"/>
          <w:lang w:val="en-US" w:eastAsia="zh-CN"/>
        </w:rPr>
        <w:t>6、</w:t>
      </w:r>
      <w:r>
        <w:rPr>
          <w:rFonts w:hint="eastAsia" w:asciiTheme="majorEastAsia" w:hAnsiTheme="majorEastAsia" w:eastAsiaTheme="majorEastAsia" w:cstheme="majorEastAsia"/>
          <w:b w:val="0"/>
          <w:bCs w:val="0"/>
          <w:color w:val="000000"/>
          <w:sz w:val="28"/>
          <w:szCs w:val="28"/>
        </w:rPr>
        <w:t>尽量避免与</w:t>
      </w:r>
      <w:r>
        <w:rPr>
          <w:rFonts w:hint="eastAsia" w:asciiTheme="majorEastAsia" w:hAnsiTheme="majorEastAsia" w:eastAsiaTheme="majorEastAsia" w:cstheme="majorEastAsia"/>
          <w:b w:val="0"/>
          <w:bCs w:val="0"/>
          <w:color w:val="000000"/>
          <w:sz w:val="28"/>
          <w:szCs w:val="28"/>
          <w:lang w:eastAsia="zh-CN"/>
        </w:rPr>
        <w:t>学生</w:t>
      </w:r>
      <w:r>
        <w:rPr>
          <w:rFonts w:hint="eastAsia" w:asciiTheme="majorEastAsia" w:hAnsiTheme="majorEastAsia" w:eastAsiaTheme="majorEastAsia" w:cstheme="majorEastAsia"/>
          <w:b w:val="0"/>
          <w:bCs w:val="0"/>
          <w:color w:val="000000"/>
          <w:sz w:val="28"/>
          <w:szCs w:val="28"/>
        </w:rPr>
        <w:t>发生各种冲突，保证</w:t>
      </w:r>
      <w:r>
        <w:rPr>
          <w:rFonts w:hint="eastAsia" w:asciiTheme="majorEastAsia" w:hAnsiTheme="majorEastAsia" w:eastAsiaTheme="majorEastAsia" w:cstheme="majorEastAsia"/>
          <w:b w:val="0"/>
          <w:bCs w:val="0"/>
          <w:color w:val="000000"/>
          <w:sz w:val="28"/>
          <w:szCs w:val="28"/>
          <w:lang w:eastAsia="zh-CN"/>
        </w:rPr>
        <w:t>测试</w:t>
      </w:r>
      <w:r>
        <w:rPr>
          <w:rFonts w:hint="eastAsia" w:asciiTheme="majorEastAsia" w:hAnsiTheme="majorEastAsia" w:eastAsiaTheme="majorEastAsia" w:cstheme="majorEastAsia"/>
          <w:b w:val="0"/>
          <w:bCs w:val="0"/>
          <w:color w:val="000000"/>
          <w:sz w:val="28"/>
          <w:szCs w:val="28"/>
        </w:rPr>
        <w:t>工作得以顺利进行。</w:t>
      </w:r>
    </w:p>
    <w:p w14:paraId="3F37523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b w:val="0"/>
          <w:bCs w:val="0"/>
          <w:color w:val="000000"/>
          <w:sz w:val="28"/>
          <w:szCs w:val="28"/>
        </w:rPr>
      </w:pPr>
      <w:r>
        <w:rPr>
          <w:rFonts w:hint="eastAsia" w:asciiTheme="majorEastAsia" w:hAnsiTheme="majorEastAsia" w:eastAsiaTheme="majorEastAsia" w:cstheme="majorEastAsia"/>
          <w:b w:val="0"/>
          <w:bCs w:val="0"/>
          <w:color w:val="000000"/>
          <w:sz w:val="28"/>
          <w:szCs w:val="28"/>
          <w:lang w:val="en-US" w:eastAsia="zh-CN"/>
        </w:rPr>
        <w:t>7、</w:t>
      </w:r>
      <w:r>
        <w:rPr>
          <w:rFonts w:hint="eastAsia" w:asciiTheme="majorEastAsia" w:hAnsiTheme="majorEastAsia" w:eastAsiaTheme="majorEastAsia" w:cstheme="majorEastAsia"/>
          <w:b w:val="0"/>
          <w:bCs w:val="0"/>
          <w:color w:val="000000"/>
          <w:sz w:val="28"/>
          <w:szCs w:val="28"/>
        </w:rPr>
        <w:t>当</w:t>
      </w:r>
      <w:r>
        <w:rPr>
          <w:rFonts w:hint="eastAsia" w:asciiTheme="majorEastAsia" w:hAnsiTheme="majorEastAsia" w:eastAsiaTheme="majorEastAsia" w:cstheme="majorEastAsia"/>
          <w:b w:val="0"/>
          <w:bCs w:val="0"/>
          <w:color w:val="000000"/>
          <w:sz w:val="28"/>
          <w:szCs w:val="28"/>
          <w:lang w:eastAsia="zh-CN"/>
        </w:rPr>
        <w:t>测试过程中</w:t>
      </w:r>
      <w:r>
        <w:rPr>
          <w:rFonts w:hint="eastAsia" w:asciiTheme="majorEastAsia" w:hAnsiTheme="majorEastAsia" w:eastAsiaTheme="majorEastAsia" w:cstheme="majorEastAsia"/>
          <w:b w:val="0"/>
          <w:bCs w:val="0"/>
          <w:color w:val="000000"/>
          <w:sz w:val="28"/>
          <w:szCs w:val="28"/>
        </w:rPr>
        <w:t>，突发极端天气和自然灾害不能进行正常</w:t>
      </w:r>
      <w:r>
        <w:rPr>
          <w:rFonts w:hint="eastAsia" w:asciiTheme="majorEastAsia" w:hAnsiTheme="majorEastAsia" w:eastAsiaTheme="majorEastAsia" w:cstheme="majorEastAsia"/>
          <w:b w:val="0"/>
          <w:bCs w:val="0"/>
          <w:color w:val="000000"/>
          <w:sz w:val="28"/>
          <w:szCs w:val="28"/>
          <w:lang w:eastAsia="zh-CN"/>
        </w:rPr>
        <w:t>测试</w:t>
      </w:r>
      <w:r>
        <w:rPr>
          <w:rFonts w:hint="eastAsia" w:asciiTheme="majorEastAsia" w:hAnsiTheme="majorEastAsia" w:eastAsiaTheme="majorEastAsia" w:cstheme="majorEastAsia"/>
          <w:b w:val="0"/>
          <w:bCs w:val="0"/>
          <w:color w:val="000000"/>
          <w:sz w:val="28"/>
          <w:szCs w:val="28"/>
        </w:rPr>
        <w:t>工作时，后续组织完成缺失项目补测。</w:t>
      </w:r>
    </w:p>
    <w:p w14:paraId="73B6E3B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b w:val="0"/>
          <w:bCs w:val="0"/>
          <w:color w:val="000000"/>
          <w:sz w:val="28"/>
          <w:szCs w:val="28"/>
          <w:lang w:val="en-US" w:eastAsia="zh-CN"/>
        </w:rPr>
        <w:t>8、</w:t>
      </w:r>
      <w:r>
        <w:rPr>
          <w:rFonts w:hint="eastAsia" w:asciiTheme="majorEastAsia" w:hAnsiTheme="majorEastAsia" w:eastAsiaTheme="majorEastAsia" w:cstheme="majorEastAsia"/>
          <w:b w:val="0"/>
          <w:bCs w:val="0"/>
          <w:color w:val="000000"/>
          <w:sz w:val="28"/>
          <w:szCs w:val="28"/>
        </w:rPr>
        <w:t>测试过程会</w:t>
      </w:r>
      <w:r>
        <w:rPr>
          <w:rFonts w:hint="eastAsia" w:asciiTheme="majorEastAsia" w:hAnsiTheme="majorEastAsia" w:eastAsiaTheme="majorEastAsia" w:cstheme="majorEastAsia"/>
          <w:b w:val="0"/>
          <w:bCs w:val="0"/>
          <w:color w:val="000000"/>
          <w:sz w:val="28"/>
          <w:szCs w:val="28"/>
          <w:lang w:eastAsia="zh-CN"/>
        </w:rPr>
        <w:t>有</w:t>
      </w:r>
      <w:r>
        <w:rPr>
          <w:rFonts w:hint="eastAsia" w:asciiTheme="majorEastAsia" w:hAnsiTheme="majorEastAsia" w:eastAsiaTheme="majorEastAsia" w:cstheme="majorEastAsia"/>
          <w:b w:val="0"/>
          <w:bCs w:val="0"/>
          <w:color w:val="000000"/>
          <w:sz w:val="28"/>
          <w:szCs w:val="28"/>
        </w:rPr>
        <w:t>各种意想不到的事件，工作</w:t>
      </w:r>
      <w:r>
        <w:rPr>
          <w:rFonts w:hint="eastAsia" w:asciiTheme="majorEastAsia" w:hAnsiTheme="majorEastAsia" w:eastAsiaTheme="majorEastAsia" w:cstheme="majorEastAsia"/>
          <w:b w:val="0"/>
          <w:bCs w:val="0"/>
          <w:color w:val="000000"/>
          <w:sz w:val="28"/>
          <w:szCs w:val="28"/>
          <w:lang w:eastAsia="zh-CN"/>
        </w:rPr>
        <w:t>人员</w:t>
      </w:r>
      <w:r>
        <w:rPr>
          <w:rFonts w:hint="eastAsia" w:asciiTheme="majorEastAsia" w:hAnsiTheme="majorEastAsia" w:eastAsiaTheme="majorEastAsia" w:cstheme="majorEastAsia"/>
          <w:b w:val="0"/>
          <w:bCs w:val="0"/>
          <w:color w:val="000000"/>
          <w:sz w:val="28"/>
          <w:szCs w:val="28"/>
        </w:rPr>
        <w:t>在处理事件过程中应保证学生安全、保证</w:t>
      </w:r>
      <w:r>
        <w:rPr>
          <w:rFonts w:hint="eastAsia" w:asciiTheme="majorEastAsia" w:hAnsiTheme="majorEastAsia" w:eastAsiaTheme="majorEastAsia" w:cstheme="majorEastAsia"/>
          <w:b w:val="0"/>
          <w:bCs w:val="0"/>
          <w:color w:val="000000"/>
          <w:sz w:val="28"/>
          <w:szCs w:val="28"/>
          <w:lang w:eastAsia="zh-CN"/>
        </w:rPr>
        <w:t>测试</w:t>
      </w:r>
      <w:r>
        <w:rPr>
          <w:rFonts w:hint="eastAsia" w:asciiTheme="majorEastAsia" w:hAnsiTheme="majorEastAsia" w:eastAsiaTheme="majorEastAsia" w:cstheme="majorEastAsia"/>
          <w:b w:val="0"/>
          <w:bCs w:val="0"/>
          <w:color w:val="000000"/>
          <w:sz w:val="28"/>
          <w:szCs w:val="28"/>
        </w:rPr>
        <w:t>工作顺利进行，及时向领导汇报。</w:t>
      </w:r>
    </w:p>
    <w:p w14:paraId="6273CE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十、附则</w:t>
      </w:r>
    </w:p>
    <w:p w14:paraId="445F84F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b w:val="0"/>
          <w:bCs w:val="0"/>
          <w:color w:val="000000"/>
          <w:sz w:val="28"/>
          <w:szCs w:val="28"/>
          <w:lang w:eastAsia="zh-CN"/>
        </w:rPr>
      </w:pPr>
      <w:r>
        <w:rPr>
          <w:rFonts w:hint="eastAsia" w:asciiTheme="majorEastAsia" w:hAnsiTheme="majorEastAsia" w:eastAsiaTheme="majorEastAsia" w:cstheme="majorEastAsia"/>
          <w:b w:val="0"/>
          <w:bCs w:val="0"/>
          <w:color w:val="000000"/>
          <w:sz w:val="28"/>
          <w:szCs w:val="28"/>
          <w:lang w:val="en-US" w:eastAsia="zh-CN"/>
        </w:rPr>
        <w:t>1、本办法自发布之日起施行，由校体育部负责解释。</w:t>
      </w:r>
    </w:p>
    <w:p w14:paraId="693E29A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Theme="majorEastAsia" w:hAnsiTheme="majorEastAsia" w:eastAsiaTheme="majorEastAsia" w:cstheme="majorEastAsia"/>
          <w:b w:val="0"/>
          <w:bCs w:val="0"/>
          <w:color w:val="000000"/>
          <w:sz w:val="28"/>
          <w:szCs w:val="28"/>
          <w:lang w:val="en-US" w:eastAsia="zh-CN"/>
        </w:rPr>
      </w:pPr>
      <w:r>
        <w:rPr>
          <w:rFonts w:hint="eastAsia" w:asciiTheme="majorEastAsia" w:hAnsiTheme="majorEastAsia" w:eastAsiaTheme="majorEastAsia" w:cstheme="majorEastAsia"/>
          <w:b w:val="0"/>
          <w:bCs w:val="0"/>
          <w:color w:val="000000"/>
          <w:sz w:val="28"/>
          <w:szCs w:val="28"/>
          <w:lang w:val="en-US" w:eastAsia="zh-CN"/>
        </w:rPr>
        <w:t>2、本办法如有未尽事宜，由体质测试中心另行通知。</w:t>
      </w:r>
    </w:p>
    <w:p w14:paraId="6FCCFFF6">
      <w:pPr>
        <w:numPr>
          <w:ilvl w:val="0"/>
          <w:numId w:val="0"/>
        </w:numPr>
        <w:spacing w:line="360" w:lineRule="auto"/>
        <w:rPr>
          <w:rFonts w:hint="eastAsia" w:asciiTheme="majorEastAsia" w:hAnsiTheme="majorEastAsia" w:eastAsiaTheme="majorEastAsia" w:cstheme="majorEastAsia"/>
          <w:b w:val="0"/>
          <w:bCs w:val="0"/>
          <w:color w:val="000000"/>
          <w:sz w:val="28"/>
          <w:szCs w:val="28"/>
          <w:lang w:val="en-US" w:eastAsia="zh-CN"/>
        </w:rPr>
      </w:pPr>
    </w:p>
    <w:p w14:paraId="574F7B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040" w:firstLineChars="1800"/>
        <w:jc w:val="center"/>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cstheme="minorEastAsia"/>
          <w:b w:val="0"/>
          <w:bCs w:val="0"/>
          <w:color w:val="000000"/>
          <w:sz w:val="28"/>
          <w:szCs w:val="28"/>
          <w:lang w:val="en-US" w:eastAsia="zh-CN"/>
        </w:rPr>
        <w:t xml:space="preserve">            </w:t>
      </w:r>
      <w:r>
        <w:rPr>
          <w:rFonts w:hint="eastAsia" w:asciiTheme="minorEastAsia" w:hAnsiTheme="minorEastAsia" w:eastAsiaTheme="minorEastAsia" w:cstheme="minorEastAsia"/>
          <w:b w:val="0"/>
          <w:bCs w:val="0"/>
          <w:color w:val="000000"/>
          <w:sz w:val="28"/>
          <w:szCs w:val="28"/>
          <w:lang w:val="en-US" w:eastAsia="zh-CN"/>
        </w:rPr>
        <w:t>体育部</w:t>
      </w:r>
    </w:p>
    <w:p w14:paraId="1AF85C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right"/>
        <w:textAlignment w:val="auto"/>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2025年4月</w:t>
      </w:r>
    </w:p>
    <w:p w14:paraId="60B23FB1">
      <w:pPr>
        <w:rPr>
          <w:rFonts w:hint="eastAsia" w:eastAsia="宋体"/>
          <w:b/>
          <w:bCs/>
          <w:sz w:val="32"/>
          <w:szCs w:val="32"/>
          <w:lang w:eastAsia="zh-CN"/>
        </w:rPr>
      </w:pPr>
      <w:r>
        <w:rPr>
          <w:rFonts w:hint="eastAsia" w:eastAsia="宋体"/>
          <w:b/>
          <w:bCs/>
          <w:sz w:val="32"/>
          <w:szCs w:val="32"/>
          <w:lang w:eastAsia="zh-CN"/>
        </w:rPr>
        <w:br w:type="page"/>
      </w:r>
    </w:p>
    <w:p w14:paraId="7110ED3D">
      <w:pPr>
        <w:rPr>
          <w:rFonts w:hint="eastAsia" w:eastAsia="宋体"/>
          <w:b/>
          <w:bCs/>
          <w:sz w:val="32"/>
          <w:szCs w:val="32"/>
          <w:lang w:eastAsia="zh-CN"/>
        </w:rPr>
      </w:pPr>
    </w:p>
    <w:p w14:paraId="2E35E0A4">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1"/>
        <w:rPr>
          <w:rFonts w:hint="eastAsia" w:ascii="Arial" w:hAnsi="Arial" w:eastAsia="黑体" w:cstheme="minorBidi"/>
          <w:b/>
          <w:color w:val="auto"/>
          <w:kern w:val="2"/>
          <w:sz w:val="36"/>
          <w:szCs w:val="36"/>
          <w:lang w:val="en-US" w:eastAsia="zh-CN" w:bidi="ar-SA"/>
        </w:rPr>
      </w:pPr>
      <w:r>
        <w:rPr>
          <w:rFonts w:hint="eastAsia" w:ascii="Arial" w:hAnsi="Arial" w:eastAsia="黑体" w:cstheme="minorBidi"/>
          <w:b/>
          <w:color w:val="auto"/>
          <w:kern w:val="2"/>
          <w:sz w:val="36"/>
          <w:szCs w:val="36"/>
          <w:lang w:val="en-US" w:eastAsia="zh-CN" w:bidi="ar-SA"/>
        </w:rPr>
        <w:t>体育部教学科研团队建设与管理方案</w:t>
      </w:r>
    </w:p>
    <w:p w14:paraId="61AA613E">
      <w:pPr>
        <w:keepNext w:val="0"/>
        <w:keepLines w:val="0"/>
        <w:pageBreakBefore w:val="0"/>
        <w:widowControl w:val="0"/>
        <w:kinsoku/>
        <w:wordWrap/>
        <w:overflowPunct/>
        <w:topLinePunct w:val="0"/>
        <w:autoSpaceDE/>
        <w:autoSpaceDN/>
        <w:bidi w:val="0"/>
        <w:adjustRightInd/>
        <w:snapToGrid w:val="0"/>
        <w:spacing w:line="600" w:lineRule="exact"/>
        <w:jc w:val="center"/>
        <w:rPr>
          <w:rFonts w:hint="eastAsia" w:ascii="华文中宋" w:hAnsi="华文中宋" w:eastAsia="华文中宋"/>
          <w:b/>
          <w:sz w:val="18"/>
          <w:szCs w:val="18"/>
          <w:lang w:val="en-US" w:eastAsia="zh-CN"/>
        </w:rPr>
      </w:pPr>
    </w:p>
    <w:p w14:paraId="642A1E8C">
      <w:pPr>
        <w:keepNext w:val="0"/>
        <w:keepLines w:val="0"/>
        <w:pageBreakBefore w:val="0"/>
        <w:widowControl w:val="0"/>
        <w:kinsoku/>
        <w:wordWrap/>
        <w:overflowPunct/>
        <w:topLinePunct w:val="0"/>
        <w:autoSpaceDE/>
        <w:autoSpaceDN/>
        <w:bidi w:val="0"/>
        <w:adjustRightInd/>
        <w:snapToGrid w:val="0"/>
        <w:spacing w:line="440" w:lineRule="exact"/>
        <w:ind w:firstLine="840" w:firstLineChars="300"/>
        <w:jc w:val="left"/>
        <w:textAlignment w:val="auto"/>
        <w:rPr>
          <w:rFonts w:hint="eastAsia" w:asciiTheme="minorEastAsia" w:hAnsi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lang w:val="en-US" w:eastAsia="zh-CN"/>
        </w:rPr>
        <w:t xml:space="preserve">以习近平新时代中国特色社会主义思想为指导，围绕学校“建设高水平应用型女子本科院校”目标，聚焦“数智技术与女性发展”学科群建设，深化女性体育教育研究。推动科研与教学、竞赛、社会服务协同发展，形成具有女院特色的体育科研体系。 进一步提升体育部教师科研工作能力和水平，为体育部教师搭建相互学习和交流的科研平台，在发表高水平科研论文、重大课题申报、教材或专著编写等方面发挥团队的力量，制定体育部2025年教学科研团队建设与管理方案。           </w:t>
      </w:r>
    </w:p>
    <w:p w14:paraId="161D1774">
      <w:pPr>
        <w:keepNext w:val="0"/>
        <w:keepLines w:val="0"/>
        <w:pageBreakBefore w:val="0"/>
        <w:widowControl w:val="0"/>
        <w:numPr>
          <w:ilvl w:val="0"/>
          <w:numId w:val="0"/>
        </w:numPr>
        <w:kinsoku/>
        <w:wordWrap/>
        <w:overflowPunct/>
        <w:topLinePunct w:val="0"/>
        <w:autoSpaceDE/>
        <w:autoSpaceDN/>
        <w:bidi w:val="0"/>
        <w:adjustRightInd/>
        <w:spacing w:line="440" w:lineRule="exact"/>
        <w:ind w:firstLine="643" w:firstLineChars="200"/>
        <w:textAlignment w:val="auto"/>
        <w:rPr>
          <w:rFonts w:hint="eastAsia" w:ascii="仿宋_GB2312" w:hAnsi="仿宋_GB2312" w:eastAsia="仿宋_GB2312" w:cs="仿宋_GB2312"/>
          <w:kern w:val="0"/>
          <w:sz w:val="30"/>
          <w:szCs w:val="30"/>
          <w:lang w:eastAsia="zh-CN"/>
        </w:rPr>
      </w:pPr>
      <w:r>
        <w:rPr>
          <w:rFonts w:hint="eastAsia" w:ascii="黑体" w:hAnsi="黑体" w:eastAsia="黑体" w:cs="黑体"/>
          <w:b/>
          <w:bCs/>
          <w:kern w:val="0"/>
          <w:sz w:val="32"/>
          <w:szCs w:val="32"/>
          <w:lang w:val="en-US" w:eastAsia="zh-CN"/>
        </w:rPr>
        <w:t>一、方案背景与目标</w:t>
      </w:r>
      <w:r>
        <w:rPr>
          <w:rFonts w:hint="eastAsia" w:ascii="仿宋_GB2312" w:hAnsi="仿宋_GB2312" w:eastAsia="仿宋_GB2312" w:cs="仿宋_GB2312"/>
          <w:kern w:val="0"/>
          <w:sz w:val="28"/>
          <w:szCs w:val="28"/>
          <w:lang w:eastAsia="zh-CN"/>
        </w:rPr>
        <w:t xml:space="preserve"> </w:t>
      </w:r>
    </w:p>
    <w:p w14:paraId="38B75463">
      <w:pPr>
        <w:keepNext w:val="0"/>
        <w:keepLines w:val="0"/>
        <w:pageBreakBefore w:val="0"/>
        <w:widowControl w:val="0"/>
        <w:kinsoku/>
        <w:wordWrap/>
        <w:overflowPunct/>
        <w:topLinePunct w:val="0"/>
        <w:autoSpaceDE/>
        <w:autoSpaceDN/>
        <w:bidi w:val="0"/>
        <w:adjustRightInd/>
        <w:snapToGrid w:val="0"/>
        <w:spacing w:line="440" w:lineRule="exact"/>
        <w:ind w:firstLine="840" w:firstLineChars="300"/>
        <w:jc w:val="left"/>
        <w:textAlignment w:val="auto"/>
        <w:rPr>
          <w:rFonts w:hint="eastAsia" w:asciiTheme="minorEastAsia" w:hAnsi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lang w:val="en-US" w:eastAsia="zh-CN"/>
        </w:rPr>
        <w:t xml:space="preserve">2025年是学校改革攻坚的关键一年。新学期伊始，学校已经吹响了改革集结号，发出“讲使命强担当，讲学习强调研，讲大局强协同，奋力推动改革，创新展现新气象，谱写女院更加绚丽精彩的新篇章！”的有力号召。在学校坚决打赢内涵式高质量发展攻坚战的重要时期，科研创新是推动学校事业发展赶超进位的核心动力。教学科研团队在我校学科建设、人才培养和服务社会经济中扮演重要角色，体育部教学科研团队建设与管理是提升部门科研水平和培养优秀人才的关键环节。通过教学科研团队建设，推动体育学科发展，服务国家体育战略需求。 </w:t>
      </w:r>
    </w:p>
    <w:p w14:paraId="5FB02885">
      <w:pPr>
        <w:keepNext w:val="0"/>
        <w:keepLines w:val="0"/>
        <w:pageBreakBefore w:val="0"/>
        <w:widowControl w:val="0"/>
        <w:kinsoku/>
        <w:wordWrap/>
        <w:overflowPunct/>
        <w:topLinePunct w:val="0"/>
        <w:autoSpaceDE/>
        <w:autoSpaceDN/>
        <w:bidi w:val="0"/>
        <w:adjustRightInd/>
        <w:snapToGrid w:val="0"/>
        <w:spacing w:line="440" w:lineRule="exact"/>
        <w:ind w:firstLine="840" w:firstLineChars="300"/>
        <w:jc w:val="left"/>
        <w:textAlignment w:val="auto"/>
        <w:rPr>
          <w:rFonts w:hint="eastAsia" w:asciiTheme="minorEastAsia" w:hAnsi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lang w:val="en-US" w:eastAsia="zh-CN"/>
        </w:rPr>
        <w:t>体育部教学科研团队短期目标是---明确研究方向，争取科研项目，发表高质量论文。长期目标是形成具有女院特色的体育科研体系，建设高水平体育科研平台，培养科研骨干，提升我校体育学科影响力。</w:t>
      </w:r>
    </w:p>
    <w:p w14:paraId="3869F828">
      <w:pPr>
        <w:keepNext w:val="0"/>
        <w:keepLines w:val="0"/>
        <w:pageBreakBefore w:val="0"/>
        <w:widowControl w:val="0"/>
        <w:kinsoku/>
        <w:wordWrap/>
        <w:overflowPunct/>
        <w:topLinePunct w:val="0"/>
        <w:autoSpaceDE/>
        <w:autoSpaceDN/>
        <w:bidi w:val="0"/>
        <w:adjustRightInd/>
        <w:snapToGrid w:val="0"/>
        <w:spacing w:line="440" w:lineRule="exact"/>
        <w:ind w:firstLine="321" w:firstLineChars="100"/>
        <w:jc w:val="left"/>
        <w:textAlignment w:val="auto"/>
        <w:rPr>
          <w:rFonts w:hint="default" w:ascii="仿宋_GB2312" w:hAnsi="仿宋_GB2312" w:eastAsia="仿宋_GB2312" w:cs="仿宋_GB2312"/>
          <w:b/>
          <w:bCs/>
          <w:kern w:val="0"/>
          <w:sz w:val="32"/>
          <w:szCs w:val="32"/>
          <w:lang w:val="en-US" w:eastAsia="zh-CN"/>
        </w:rPr>
      </w:pPr>
      <w:r>
        <w:rPr>
          <w:rFonts w:hint="eastAsia" w:ascii="黑体" w:hAnsi="黑体" w:eastAsia="黑体" w:cs="黑体"/>
          <w:b/>
          <w:bCs/>
          <w:kern w:val="0"/>
          <w:sz w:val="32"/>
          <w:szCs w:val="32"/>
          <w:lang w:val="en-US" w:eastAsia="zh-CN"/>
        </w:rPr>
        <w:t>二、团队建设与管理</w:t>
      </w:r>
    </w:p>
    <w:p w14:paraId="785E93E7">
      <w:pPr>
        <w:keepNext w:val="0"/>
        <w:keepLines w:val="0"/>
        <w:pageBreakBefore w:val="0"/>
        <w:widowControl w:val="0"/>
        <w:kinsoku/>
        <w:wordWrap/>
        <w:overflowPunct/>
        <w:topLinePunct w:val="0"/>
        <w:autoSpaceDE/>
        <w:autoSpaceDN/>
        <w:bidi w:val="0"/>
        <w:adjustRightInd/>
        <w:snapToGrid w:val="0"/>
        <w:spacing w:line="440" w:lineRule="exact"/>
        <w:ind w:firstLine="840" w:firstLineChars="300"/>
        <w:jc w:val="left"/>
        <w:textAlignment w:val="auto"/>
        <w:rPr>
          <w:rFonts w:hint="eastAsia" w:asciiTheme="minorEastAsia" w:hAnsi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lang w:val="en-US" w:eastAsia="zh-CN"/>
        </w:rPr>
        <w:t>成立体育部教学科研团队工作领导小组，负责方案的实施与监督。</w:t>
      </w:r>
    </w:p>
    <w:p w14:paraId="21E9F3B2">
      <w:pPr>
        <w:keepNext w:val="0"/>
        <w:keepLines w:val="0"/>
        <w:pageBreakBefore w:val="0"/>
        <w:widowControl w:val="0"/>
        <w:kinsoku/>
        <w:wordWrap/>
        <w:overflowPunct/>
        <w:topLinePunct w:val="0"/>
        <w:autoSpaceDE/>
        <w:autoSpaceDN/>
        <w:bidi w:val="0"/>
        <w:adjustRightInd/>
        <w:snapToGrid w:val="0"/>
        <w:spacing w:line="440" w:lineRule="exact"/>
        <w:ind w:firstLine="840" w:firstLineChars="300"/>
        <w:jc w:val="left"/>
        <w:textAlignment w:val="auto"/>
        <w:rPr>
          <w:rFonts w:hint="eastAsia" w:asciiTheme="minorEastAsia" w:hAnsi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lang w:val="en-US" w:eastAsia="zh-CN"/>
        </w:rPr>
        <w:t xml:space="preserve">组长：王庆云   </w:t>
      </w:r>
    </w:p>
    <w:p w14:paraId="27EC25E5">
      <w:pPr>
        <w:keepNext w:val="0"/>
        <w:keepLines w:val="0"/>
        <w:pageBreakBefore w:val="0"/>
        <w:widowControl w:val="0"/>
        <w:kinsoku/>
        <w:wordWrap/>
        <w:overflowPunct/>
        <w:topLinePunct w:val="0"/>
        <w:autoSpaceDE/>
        <w:autoSpaceDN/>
        <w:bidi w:val="0"/>
        <w:adjustRightInd/>
        <w:snapToGrid w:val="0"/>
        <w:spacing w:line="440" w:lineRule="exact"/>
        <w:ind w:firstLine="840" w:firstLineChars="300"/>
        <w:jc w:val="left"/>
        <w:textAlignment w:val="auto"/>
        <w:rPr>
          <w:rFonts w:hint="eastAsia" w:asciiTheme="minorEastAsia" w:hAnsi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lang w:val="en-US" w:eastAsia="zh-CN"/>
        </w:rPr>
        <w:t xml:space="preserve">副组长：樊伟 欧平   </w:t>
      </w:r>
    </w:p>
    <w:p w14:paraId="3B189100">
      <w:pPr>
        <w:keepNext w:val="0"/>
        <w:keepLines w:val="0"/>
        <w:pageBreakBefore w:val="0"/>
        <w:widowControl w:val="0"/>
        <w:kinsoku/>
        <w:wordWrap/>
        <w:overflowPunct/>
        <w:topLinePunct w:val="0"/>
        <w:autoSpaceDE/>
        <w:autoSpaceDN/>
        <w:bidi w:val="0"/>
        <w:adjustRightInd/>
        <w:snapToGrid w:val="0"/>
        <w:spacing w:line="440" w:lineRule="exact"/>
        <w:ind w:firstLine="840" w:firstLineChars="300"/>
        <w:jc w:val="left"/>
        <w:textAlignment w:val="auto"/>
        <w:rPr>
          <w:rFonts w:hint="eastAsia" w:asciiTheme="minorEastAsia" w:hAnsi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lang w:val="en-US" w:eastAsia="zh-CN"/>
        </w:rPr>
        <w:t>成员：李照清、刘泽锋、吴勇、姜武成</w:t>
      </w:r>
    </w:p>
    <w:p w14:paraId="6BFFB4DD">
      <w:pPr>
        <w:keepNext w:val="0"/>
        <w:keepLines w:val="0"/>
        <w:pageBreakBefore w:val="0"/>
        <w:widowControl w:val="0"/>
        <w:kinsoku/>
        <w:wordWrap/>
        <w:overflowPunct/>
        <w:topLinePunct w:val="0"/>
        <w:autoSpaceDE/>
        <w:autoSpaceDN/>
        <w:bidi w:val="0"/>
        <w:adjustRightInd/>
        <w:snapToGrid w:val="0"/>
        <w:spacing w:line="440" w:lineRule="exact"/>
        <w:ind w:firstLine="840" w:firstLineChars="300"/>
        <w:jc w:val="left"/>
        <w:textAlignment w:val="auto"/>
        <w:rPr>
          <w:rFonts w:hint="eastAsia" w:asciiTheme="minorEastAsia" w:hAnsiTheme="minorEastAsia" w:cstheme="minorEastAsia"/>
          <w:color w:val="auto"/>
          <w:kern w:val="0"/>
          <w:sz w:val="28"/>
          <w:szCs w:val="28"/>
          <w:highlight w:val="none"/>
          <w:lang w:val="en-US" w:eastAsia="zh-CN"/>
        </w:rPr>
      </w:pPr>
      <w:r>
        <w:rPr>
          <w:rFonts w:hint="default" w:asciiTheme="minorEastAsia" w:hAnsiTheme="minorEastAsia" w:cstheme="minorEastAsia"/>
          <w:color w:val="auto"/>
          <w:kern w:val="0"/>
          <w:sz w:val="28"/>
          <w:szCs w:val="28"/>
          <w:highlight w:val="none"/>
          <w:lang w:val="en-US" w:eastAsia="zh-CN"/>
        </w:rPr>
        <w:t>主要以教授</w:t>
      </w:r>
      <w:r>
        <w:rPr>
          <w:rFonts w:hint="eastAsia" w:asciiTheme="minorEastAsia" w:hAnsiTheme="minorEastAsia" w:cstheme="minorEastAsia"/>
          <w:color w:val="auto"/>
          <w:kern w:val="0"/>
          <w:sz w:val="28"/>
          <w:szCs w:val="28"/>
          <w:highlight w:val="none"/>
          <w:lang w:val="en-US" w:eastAsia="zh-CN"/>
        </w:rPr>
        <w:t>、副教授</w:t>
      </w:r>
      <w:r>
        <w:rPr>
          <w:rFonts w:hint="default" w:asciiTheme="minorEastAsia" w:hAnsiTheme="minorEastAsia" w:cstheme="minorEastAsia"/>
          <w:color w:val="auto"/>
          <w:kern w:val="0"/>
          <w:sz w:val="28"/>
          <w:szCs w:val="28"/>
          <w:highlight w:val="none"/>
          <w:lang w:val="en-US" w:eastAsia="zh-CN"/>
        </w:rPr>
        <w:t>和博士为团队负责人，以优势专业方向为依托，</w:t>
      </w:r>
      <w:r>
        <w:rPr>
          <w:rFonts w:hint="eastAsia" w:asciiTheme="minorEastAsia" w:hAnsiTheme="minorEastAsia" w:cstheme="minorEastAsia"/>
          <w:color w:val="auto"/>
          <w:kern w:val="0"/>
          <w:sz w:val="28"/>
          <w:szCs w:val="28"/>
          <w:highlight w:val="none"/>
          <w:lang w:val="en-US" w:eastAsia="zh-CN"/>
        </w:rPr>
        <w:t>组建3个科研团队，团队组建按职称、学历、年龄形成梯队合理结构。</w:t>
      </w:r>
      <w:r>
        <w:rPr>
          <w:rFonts w:hint="default" w:asciiTheme="minorEastAsia" w:hAnsiTheme="minorEastAsia" w:cstheme="minorEastAsia"/>
          <w:color w:val="auto"/>
          <w:kern w:val="0"/>
          <w:sz w:val="28"/>
          <w:szCs w:val="28"/>
          <w:highlight w:val="none"/>
          <w:lang w:val="en-US" w:eastAsia="zh-CN"/>
        </w:rPr>
        <w:t>以打牢科研基础为重点，以实现重大课题及高水平科研论文为目标，开展科研团队建设各项工作。</w:t>
      </w:r>
      <w:r>
        <w:rPr>
          <w:rFonts w:hint="eastAsia" w:asciiTheme="minorEastAsia" w:hAnsiTheme="minorEastAsia" w:cstheme="minorEastAsia"/>
          <w:color w:val="auto"/>
          <w:kern w:val="0"/>
          <w:sz w:val="28"/>
          <w:szCs w:val="28"/>
          <w:highlight w:val="none"/>
          <w:lang w:val="en-US" w:eastAsia="zh-CN"/>
        </w:rPr>
        <w:t>团队定期组织科研培训，提升团队成员的科研能力。</w:t>
      </w:r>
    </w:p>
    <w:p w14:paraId="1B01DF70">
      <w:pPr>
        <w:keepNext w:val="0"/>
        <w:keepLines w:val="0"/>
        <w:pageBreakBefore w:val="0"/>
        <w:widowControl w:val="0"/>
        <w:numPr>
          <w:ilvl w:val="0"/>
          <w:numId w:val="0"/>
        </w:numPr>
        <w:kinsoku/>
        <w:wordWrap/>
        <w:overflowPunct/>
        <w:topLinePunct w:val="0"/>
        <w:autoSpaceDE/>
        <w:autoSpaceDN/>
        <w:bidi w:val="0"/>
        <w:adjustRightInd/>
        <w:spacing w:line="440" w:lineRule="exact"/>
        <w:ind w:firstLine="643" w:firstLineChars="200"/>
        <w:textAlignment w:val="auto"/>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 xml:space="preserve">三、科研项目与领域 </w:t>
      </w:r>
    </w:p>
    <w:p w14:paraId="755D851C">
      <w:pPr>
        <w:keepNext w:val="0"/>
        <w:keepLines w:val="0"/>
        <w:pageBreakBefore w:val="0"/>
        <w:widowControl w:val="0"/>
        <w:kinsoku/>
        <w:wordWrap/>
        <w:overflowPunct/>
        <w:topLinePunct w:val="0"/>
        <w:autoSpaceDE/>
        <w:autoSpaceDN/>
        <w:bidi w:val="0"/>
        <w:adjustRightInd/>
        <w:snapToGrid w:val="0"/>
        <w:spacing w:line="440" w:lineRule="exact"/>
        <w:ind w:firstLine="840" w:firstLineChars="300"/>
        <w:jc w:val="left"/>
        <w:textAlignment w:val="auto"/>
        <w:rPr>
          <w:rFonts w:hint="eastAsia" w:asciiTheme="minorEastAsia" w:hAnsi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lang w:val="en-US" w:eastAsia="zh-CN"/>
        </w:rPr>
        <w:t>教学科研团队制定项目计划，明确任务分工和时间节点。积极申报湖南省教育厅科学研究课题、湖南省教科规划课题、湖南省社科基金课题、湖南省社科评审委课题、湖南省自科基金联合项目，湖南省妇联课题，湖南省教育厅教学改革研究项目。力争申报国家社会科学基金项目、教育部人文项目等。开展足球、啦啦操、羽毛球、乒乓球等项目的公益培训，加强与企业政府单位、体育协会合作，申报体育公益类横向课题。定期召开项目推进会，解决实施中的问题。严格按照要求完成项目结题，提交高质量成果。对项目进行绩效评估，总结经验教训。</w:t>
      </w:r>
    </w:p>
    <w:p w14:paraId="3AB8B900">
      <w:pPr>
        <w:keepNext w:val="0"/>
        <w:keepLines w:val="0"/>
        <w:pageBreakBefore w:val="0"/>
        <w:widowControl w:val="0"/>
        <w:kinsoku/>
        <w:wordWrap/>
        <w:overflowPunct/>
        <w:topLinePunct w:val="0"/>
        <w:autoSpaceDE/>
        <w:autoSpaceDN/>
        <w:bidi w:val="0"/>
        <w:adjustRightInd/>
        <w:snapToGrid w:val="0"/>
        <w:spacing w:line="440" w:lineRule="exact"/>
        <w:ind w:firstLine="840" w:firstLineChars="300"/>
        <w:jc w:val="left"/>
        <w:textAlignment w:val="auto"/>
        <w:rPr>
          <w:rFonts w:hint="eastAsia" w:asciiTheme="minorEastAsia" w:hAnsi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lang w:val="en-US" w:eastAsia="zh-CN"/>
        </w:rPr>
        <w:t>科研方向---1.运动训练与竞技体育：研究科学训练方法、运动员体能提升等。2.体育教育与健康促进：探索高校体育教学模式、学生体质健康等。3.体育运动康养与医学：研究体育康养与运动损伤预防与康复、慢性病运动干预等。4.体育管理与政策：分析体育产业发展、体育政策评估等。</w:t>
      </w:r>
    </w:p>
    <w:p w14:paraId="67CD1D0A">
      <w:pPr>
        <w:keepNext w:val="0"/>
        <w:keepLines w:val="0"/>
        <w:pageBreakBefore w:val="0"/>
        <w:widowControl w:val="0"/>
        <w:kinsoku/>
        <w:wordWrap/>
        <w:overflowPunct/>
        <w:topLinePunct w:val="0"/>
        <w:autoSpaceDE/>
        <w:autoSpaceDN/>
        <w:bidi w:val="0"/>
        <w:adjustRightInd/>
        <w:snapToGrid w:val="0"/>
        <w:spacing w:line="440" w:lineRule="exact"/>
        <w:ind w:firstLine="840" w:firstLineChars="300"/>
        <w:jc w:val="left"/>
        <w:textAlignment w:val="auto"/>
        <w:rPr>
          <w:rFonts w:hint="eastAsia" w:asciiTheme="minorEastAsia" w:hAnsi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lang w:val="en-US" w:eastAsia="zh-CN"/>
        </w:rPr>
        <w:t>重点领域--- 围绕我校“一老一小一女性”办学特色和湖南省区域产业需求，确定女性体育发展与体育运动康养、AI赋能体育教学为重点研究领域，集中资源突破。</w:t>
      </w:r>
    </w:p>
    <w:p w14:paraId="594247A5">
      <w:pPr>
        <w:keepNext w:val="0"/>
        <w:keepLines w:val="0"/>
        <w:pageBreakBefore w:val="0"/>
        <w:widowControl w:val="0"/>
        <w:numPr>
          <w:ilvl w:val="0"/>
          <w:numId w:val="0"/>
        </w:numPr>
        <w:kinsoku/>
        <w:wordWrap/>
        <w:overflowPunct/>
        <w:topLinePunct w:val="0"/>
        <w:autoSpaceDE/>
        <w:autoSpaceDN/>
        <w:bidi w:val="0"/>
        <w:adjustRightInd/>
        <w:spacing w:line="440" w:lineRule="exact"/>
        <w:ind w:firstLine="643" w:firstLineChars="200"/>
        <w:textAlignment w:val="auto"/>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四、实施计划与任务</w:t>
      </w:r>
    </w:p>
    <w:p w14:paraId="7B916BEF">
      <w:pPr>
        <w:keepNext w:val="0"/>
        <w:keepLines w:val="0"/>
        <w:pageBreakBefore w:val="0"/>
        <w:widowControl w:val="0"/>
        <w:kinsoku/>
        <w:wordWrap/>
        <w:overflowPunct/>
        <w:topLinePunct w:val="0"/>
        <w:autoSpaceDE/>
        <w:autoSpaceDN/>
        <w:bidi w:val="0"/>
        <w:adjustRightInd/>
        <w:snapToGrid w:val="0"/>
        <w:spacing w:line="440" w:lineRule="exact"/>
        <w:ind w:firstLine="840" w:firstLineChars="300"/>
        <w:jc w:val="left"/>
        <w:textAlignment w:val="auto"/>
        <w:rPr>
          <w:rFonts w:hint="default" w:asciiTheme="minorEastAsia" w:hAnsi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lang w:val="en-US" w:eastAsia="zh-CN"/>
        </w:rPr>
        <w:t>第一阶段（1年内）： 组建体育教学科研团队，明确研究方向，申报立项省级课题3-4个；申报国家课题5项。发表省级刊物4篇；高水平核心论文2 篇；</w:t>
      </w:r>
      <w:r>
        <w:rPr>
          <w:rFonts w:hint="default" w:asciiTheme="minorEastAsia" w:hAnsiTheme="minorEastAsia" w:cstheme="minorEastAsia"/>
          <w:color w:val="auto"/>
          <w:kern w:val="0"/>
          <w:sz w:val="28"/>
          <w:szCs w:val="28"/>
          <w:highlight w:val="none"/>
          <w:lang w:val="en-US" w:eastAsia="zh-CN"/>
        </w:rPr>
        <w:t>完成专著或教材编写</w:t>
      </w:r>
      <w:r>
        <w:rPr>
          <w:rFonts w:hint="eastAsia" w:asciiTheme="minorEastAsia" w:hAnsiTheme="minorEastAsia" w:cstheme="minorEastAsia"/>
          <w:color w:val="auto"/>
          <w:kern w:val="0"/>
          <w:sz w:val="28"/>
          <w:szCs w:val="28"/>
          <w:highlight w:val="none"/>
          <w:lang w:val="en-US" w:eastAsia="zh-CN"/>
        </w:rPr>
        <w:t>1部。</w:t>
      </w:r>
    </w:p>
    <w:p w14:paraId="1403EECB">
      <w:pPr>
        <w:keepNext w:val="0"/>
        <w:keepLines w:val="0"/>
        <w:pageBreakBefore w:val="0"/>
        <w:widowControl w:val="0"/>
        <w:kinsoku/>
        <w:wordWrap/>
        <w:overflowPunct/>
        <w:topLinePunct w:val="0"/>
        <w:autoSpaceDE/>
        <w:autoSpaceDN/>
        <w:bidi w:val="0"/>
        <w:adjustRightInd/>
        <w:snapToGrid w:val="0"/>
        <w:spacing w:line="440" w:lineRule="exact"/>
        <w:ind w:firstLine="840" w:firstLineChars="300"/>
        <w:jc w:val="left"/>
        <w:textAlignment w:val="auto"/>
        <w:rPr>
          <w:rFonts w:hint="default" w:asciiTheme="minorEastAsia" w:hAnsi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lang w:val="en-US" w:eastAsia="zh-CN"/>
        </w:rPr>
        <w:t>第二阶段（2-3年）： 申报立项一个省级“性别与体育发展研究中心”科研平台，体育特色研究方向初步形成，发表高水平核心论文3-4篇，争取立项省部级以上项目10个以上，申报国家课题5项及以上，争取立项国家级课题1项。</w:t>
      </w:r>
    </w:p>
    <w:p w14:paraId="75A510ED">
      <w:pPr>
        <w:keepNext w:val="0"/>
        <w:keepLines w:val="0"/>
        <w:pageBreakBefore w:val="0"/>
        <w:widowControl w:val="0"/>
        <w:kinsoku/>
        <w:wordWrap/>
        <w:overflowPunct/>
        <w:topLinePunct w:val="0"/>
        <w:autoSpaceDE/>
        <w:autoSpaceDN/>
        <w:bidi w:val="0"/>
        <w:adjustRightInd/>
        <w:snapToGrid w:val="0"/>
        <w:spacing w:line="440" w:lineRule="exact"/>
        <w:ind w:firstLine="840" w:firstLineChars="300"/>
        <w:jc w:val="left"/>
        <w:textAlignment w:val="auto"/>
        <w:rPr>
          <w:rFonts w:hint="eastAsia" w:asciiTheme="minorEastAsia" w:hAnsi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lang w:val="en-US" w:eastAsia="zh-CN"/>
        </w:rPr>
        <w:t>第三阶段（3-5年）： 形成体育特色研究体系---即深化女性体育教育特色研究，聚焦数字化体育与智能技术应用研究，加强体育学科与其他学科协同创新研究。争取立项国家级课题2项，省部级以上项目10个以上。培养科研骨干，提升体育学科在校内外的影响力。</w:t>
      </w:r>
    </w:p>
    <w:p w14:paraId="1FB88706">
      <w:pPr>
        <w:keepNext w:val="0"/>
        <w:keepLines w:val="0"/>
        <w:pageBreakBefore w:val="0"/>
        <w:widowControl w:val="0"/>
        <w:numPr>
          <w:ilvl w:val="0"/>
          <w:numId w:val="0"/>
        </w:numPr>
        <w:kinsoku/>
        <w:wordWrap/>
        <w:overflowPunct/>
        <w:topLinePunct w:val="0"/>
        <w:autoSpaceDE/>
        <w:autoSpaceDN/>
        <w:bidi w:val="0"/>
        <w:adjustRightInd/>
        <w:spacing w:line="440" w:lineRule="exact"/>
        <w:ind w:firstLine="643" w:firstLineChars="200"/>
        <w:textAlignment w:val="auto"/>
        <w:rPr>
          <w:rFonts w:hint="default"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五、激励机制与保障</w:t>
      </w:r>
    </w:p>
    <w:p w14:paraId="48DB2E83">
      <w:pPr>
        <w:keepNext w:val="0"/>
        <w:keepLines w:val="0"/>
        <w:pageBreakBefore w:val="0"/>
        <w:widowControl w:val="0"/>
        <w:kinsoku/>
        <w:wordWrap/>
        <w:overflowPunct/>
        <w:topLinePunct w:val="0"/>
        <w:autoSpaceDE/>
        <w:autoSpaceDN/>
        <w:bidi w:val="0"/>
        <w:adjustRightInd/>
        <w:snapToGrid w:val="0"/>
        <w:spacing w:line="440" w:lineRule="exact"/>
        <w:ind w:firstLine="840" w:firstLineChars="300"/>
        <w:jc w:val="left"/>
        <w:textAlignment w:val="auto"/>
        <w:rPr>
          <w:rFonts w:hint="eastAsia" w:asciiTheme="minorEastAsia" w:hAnsi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lang w:val="en-US" w:eastAsia="zh-CN"/>
        </w:rPr>
        <w:t xml:space="preserve"> </w:t>
      </w:r>
      <w:r>
        <w:rPr>
          <w:rFonts w:hint="default" w:asciiTheme="minorEastAsia" w:hAnsiTheme="minorEastAsia" w:cstheme="minorEastAsia"/>
          <w:color w:val="auto"/>
          <w:kern w:val="0"/>
          <w:sz w:val="28"/>
          <w:szCs w:val="28"/>
          <w:highlight w:val="none"/>
          <w:lang w:val="en-US" w:eastAsia="zh-CN"/>
        </w:rPr>
        <w:t>体育</w:t>
      </w:r>
      <w:r>
        <w:rPr>
          <w:rFonts w:hint="eastAsia" w:asciiTheme="minorEastAsia" w:hAnsiTheme="minorEastAsia" w:cstheme="minorEastAsia"/>
          <w:color w:val="auto"/>
          <w:kern w:val="0"/>
          <w:sz w:val="28"/>
          <w:szCs w:val="28"/>
          <w:highlight w:val="none"/>
          <w:lang w:val="en-US" w:eastAsia="zh-CN"/>
        </w:rPr>
        <w:t>部</w:t>
      </w:r>
      <w:r>
        <w:rPr>
          <w:rFonts w:hint="default" w:asciiTheme="minorEastAsia" w:hAnsiTheme="minorEastAsia" w:cstheme="minorEastAsia"/>
          <w:color w:val="auto"/>
          <w:kern w:val="0"/>
          <w:sz w:val="28"/>
          <w:szCs w:val="28"/>
          <w:highlight w:val="none"/>
          <w:lang w:val="en-US" w:eastAsia="zh-CN"/>
        </w:rPr>
        <w:t>给予每个</w:t>
      </w:r>
      <w:r>
        <w:rPr>
          <w:rFonts w:hint="eastAsia" w:asciiTheme="minorEastAsia" w:hAnsiTheme="minorEastAsia" w:cstheme="minorEastAsia"/>
          <w:color w:val="auto"/>
          <w:kern w:val="0"/>
          <w:sz w:val="28"/>
          <w:szCs w:val="28"/>
          <w:highlight w:val="none"/>
          <w:lang w:val="en-US" w:eastAsia="zh-CN"/>
        </w:rPr>
        <w:t>教学</w:t>
      </w:r>
      <w:r>
        <w:rPr>
          <w:rFonts w:hint="default" w:asciiTheme="minorEastAsia" w:hAnsiTheme="minorEastAsia" w:cstheme="minorEastAsia"/>
          <w:color w:val="auto"/>
          <w:kern w:val="0"/>
          <w:sz w:val="28"/>
          <w:szCs w:val="28"/>
          <w:highlight w:val="none"/>
          <w:lang w:val="en-US" w:eastAsia="zh-CN"/>
        </w:rPr>
        <w:t>科研团队每年0.</w:t>
      </w:r>
      <w:r>
        <w:rPr>
          <w:rFonts w:hint="eastAsia" w:asciiTheme="minorEastAsia" w:hAnsiTheme="minorEastAsia" w:cstheme="minorEastAsia"/>
          <w:color w:val="auto"/>
          <w:kern w:val="0"/>
          <w:sz w:val="28"/>
          <w:szCs w:val="28"/>
          <w:highlight w:val="none"/>
          <w:lang w:val="en-US" w:eastAsia="zh-CN"/>
        </w:rPr>
        <w:t>4</w:t>
      </w:r>
      <w:r>
        <w:rPr>
          <w:rFonts w:hint="default" w:asciiTheme="minorEastAsia" w:hAnsiTheme="minorEastAsia" w:cstheme="minorEastAsia"/>
          <w:color w:val="auto"/>
          <w:kern w:val="0"/>
          <w:sz w:val="28"/>
          <w:szCs w:val="28"/>
          <w:highlight w:val="none"/>
          <w:lang w:val="en-US" w:eastAsia="zh-CN"/>
        </w:rPr>
        <w:t>万元经费</w:t>
      </w:r>
      <w:r>
        <w:rPr>
          <w:rFonts w:hint="eastAsia" w:asciiTheme="minorEastAsia" w:hAnsiTheme="minorEastAsia" w:cstheme="minorEastAsia"/>
          <w:color w:val="auto"/>
          <w:kern w:val="0"/>
          <w:sz w:val="28"/>
          <w:szCs w:val="28"/>
          <w:highlight w:val="none"/>
          <w:lang w:val="en-US" w:eastAsia="zh-CN"/>
        </w:rPr>
        <w:t>，</w:t>
      </w:r>
      <w:r>
        <w:rPr>
          <w:rFonts w:hint="default" w:asciiTheme="minorEastAsia" w:hAnsiTheme="minorEastAsia" w:cstheme="minorEastAsia"/>
          <w:color w:val="auto"/>
          <w:kern w:val="0"/>
          <w:sz w:val="28"/>
          <w:szCs w:val="28"/>
          <w:highlight w:val="none"/>
          <w:lang w:val="en-US" w:eastAsia="zh-CN"/>
        </w:rPr>
        <w:t>支持</w:t>
      </w:r>
      <w:r>
        <w:rPr>
          <w:rFonts w:hint="eastAsia" w:asciiTheme="minorEastAsia" w:hAnsiTheme="minorEastAsia" w:cstheme="minorEastAsia"/>
          <w:color w:val="auto"/>
          <w:kern w:val="0"/>
          <w:sz w:val="28"/>
          <w:szCs w:val="28"/>
          <w:highlight w:val="none"/>
          <w:lang w:val="en-US" w:eastAsia="zh-CN"/>
        </w:rPr>
        <w:t>团队开展科研活动。对发表高水平论文、获得科研项目的团队和个人部门年末绩效给予奖励。设立体育部“科研先进个人”“优秀科研团队”等荣誉称号。将科研业绩纳入教师绩效考核体系。对科研表现突出的教师在职称评定、岗位晋升中给予倾斜。</w:t>
      </w:r>
    </w:p>
    <w:p w14:paraId="7521C84D">
      <w:pPr>
        <w:keepNext w:val="0"/>
        <w:keepLines w:val="0"/>
        <w:pageBreakBefore w:val="0"/>
        <w:widowControl w:val="0"/>
        <w:kinsoku/>
        <w:wordWrap/>
        <w:overflowPunct/>
        <w:topLinePunct w:val="0"/>
        <w:autoSpaceDE/>
        <w:autoSpaceDN/>
        <w:bidi w:val="0"/>
        <w:adjustRightInd/>
        <w:snapToGrid w:val="0"/>
        <w:spacing w:line="440" w:lineRule="exact"/>
        <w:ind w:firstLine="840" w:firstLineChars="300"/>
        <w:jc w:val="left"/>
        <w:textAlignment w:val="auto"/>
        <w:rPr>
          <w:rFonts w:hint="eastAsia" w:asciiTheme="minorEastAsia" w:hAnsi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lang w:val="en-US" w:eastAsia="zh-CN"/>
        </w:rPr>
        <w:t>体育部每年定期举办体育学术讲座、研讨会，2025年计划安排2场学术讲座，</w:t>
      </w:r>
      <w:r>
        <w:rPr>
          <w:rFonts w:hint="default" w:asciiTheme="minorEastAsia" w:hAnsiTheme="minorEastAsia" w:cstheme="minorEastAsia"/>
          <w:color w:val="auto"/>
          <w:kern w:val="0"/>
          <w:sz w:val="28"/>
          <w:szCs w:val="28"/>
          <w:highlight w:val="none"/>
          <w:lang w:val="en-US" w:eastAsia="zh-CN"/>
        </w:rPr>
        <w:t>组织专家对</w:t>
      </w:r>
      <w:r>
        <w:rPr>
          <w:rFonts w:hint="eastAsia" w:asciiTheme="minorEastAsia" w:hAnsiTheme="minorEastAsia" w:cstheme="minorEastAsia"/>
          <w:color w:val="auto"/>
          <w:kern w:val="0"/>
          <w:sz w:val="28"/>
          <w:szCs w:val="28"/>
          <w:highlight w:val="none"/>
          <w:lang w:val="en-US" w:eastAsia="zh-CN"/>
        </w:rPr>
        <w:t>教学</w:t>
      </w:r>
      <w:r>
        <w:rPr>
          <w:rFonts w:hint="default" w:asciiTheme="minorEastAsia" w:hAnsiTheme="minorEastAsia" w:cstheme="minorEastAsia"/>
          <w:color w:val="auto"/>
          <w:kern w:val="0"/>
          <w:sz w:val="28"/>
          <w:szCs w:val="28"/>
          <w:highlight w:val="none"/>
          <w:lang w:val="en-US" w:eastAsia="zh-CN"/>
        </w:rPr>
        <w:t>科研团队</w:t>
      </w:r>
      <w:r>
        <w:rPr>
          <w:rFonts w:hint="eastAsia" w:asciiTheme="minorEastAsia" w:hAnsiTheme="minorEastAsia" w:cstheme="minorEastAsia"/>
          <w:color w:val="auto"/>
          <w:kern w:val="0"/>
          <w:sz w:val="28"/>
          <w:szCs w:val="28"/>
          <w:highlight w:val="none"/>
          <w:lang w:val="en-US" w:eastAsia="zh-CN"/>
        </w:rPr>
        <w:t>进行现场</w:t>
      </w:r>
      <w:r>
        <w:rPr>
          <w:rFonts w:hint="default" w:asciiTheme="minorEastAsia" w:hAnsiTheme="minorEastAsia" w:cstheme="minorEastAsia"/>
          <w:color w:val="auto"/>
          <w:kern w:val="0"/>
          <w:sz w:val="28"/>
          <w:szCs w:val="28"/>
          <w:highlight w:val="none"/>
          <w:lang w:val="en-US" w:eastAsia="zh-CN"/>
        </w:rPr>
        <w:t>指导</w:t>
      </w:r>
      <w:r>
        <w:rPr>
          <w:rFonts w:hint="eastAsia" w:asciiTheme="minorEastAsia" w:hAnsiTheme="minorEastAsia" w:cstheme="minorEastAsia"/>
          <w:color w:val="auto"/>
          <w:kern w:val="0"/>
          <w:sz w:val="28"/>
          <w:szCs w:val="28"/>
          <w:highlight w:val="none"/>
          <w:lang w:val="en-US" w:eastAsia="zh-CN"/>
        </w:rPr>
        <w:t>。鼓励体育部教师经常参加校内组织的学术沙龙，加强与其他学院教师交流，提升科研水平。支持团队参加国内外学术交流会议等活动，增长学识，拓宽视野。</w:t>
      </w:r>
    </w:p>
    <w:p w14:paraId="0B0F8DFE">
      <w:pPr>
        <w:keepNext w:val="0"/>
        <w:keepLines w:val="0"/>
        <w:pageBreakBefore w:val="0"/>
        <w:widowControl w:val="0"/>
        <w:kinsoku/>
        <w:wordWrap/>
        <w:overflowPunct/>
        <w:topLinePunct w:val="0"/>
        <w:autoSpaceDE/>
        <w:autoSpaceDN/>
        <w:bidi w:val="0"/>
        <w:adjustRightInd/>
        <w:snapToGrid w:val="0"/>
        <w:spacing w:line="440" w:lineRule="exact"/>
        <w:ind w:firstLine="840" w:firstLineChars="300"/>
        <w:jc w:val="left"/>
        <w:textAlignment w:val="auto"/>
        <w:rPr>
          <w:rFonts w:hint="eastAsia" w:asciiTheme="minorEastAsia" w:hAnsi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lang w:val="en-US" w:eastAsia="zh-CN"/>
        </w:rPr>
        <w:t>本方案紧密围绕学校“十四五”规划和体育学科前沿，以问题导向、特色引领、协同创新为核心，旨在通过科研赋能，把湖南女子学院建成国内领先的女性体育教育高地。</w:t>
      </w:r>
    </w:p>
    <w:p w14:paraId="1AF4A803">
      <w:pPr>
        <w:keepNext w:val="0"/>
        <w:keepLines w:val="0"/>
        <w:pageBreakBefore w:val="0"/>
        <w:widowControl w:val="0"/>
        <w:kinsoku/>
        <w:wordWrap/>
        <w:overflowPunct/>
        <w:topLinePunct w:val="0"/>
        <w:autoSpaceDE/>
        <w:autoSpaceDN/>
        <w:bidi w:val="0"/>
        <w:adjustRightInd/>
        <w:snapToGrid w:val="0"/>
        <w:spacing w:line="440" w:lineRule="exact"/>
        <w:ind w:firstLine="840" w:firstLineChars="300"/>
        <w:jc w:val="left"/>
        <w:textAlignment w:val="auto"/>
        <w:rPr>
          <w:rFonts w:hint="eastAsia" w:asciiTheme="minorEastAsia" w:hAnsi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lang w:val="en-US" w:eastAsia="zh-CN"/>
        </w:rPr>
        <w:t xml:space="preserve"> </w:t>
      </w:r>
    </w:p>
    <w:p w14:paraId="3CF5A176">
      <w:pPr>
        <w:spacing w:line="440" w:lineRule="exact"/>
        <w:ind w:left="6707" w:leftChars="2394" w:hanging="1680" w:hangingChars="600"/>
        <w:rPr>
          <w:rFonts w:hint="default" w:asciiTheme="minorEastAsia" w:hAnsiTheme="minorEastAsia" w:cstheme="minorEastAsia"/>
          <w:color w:val="auto"/>
          <w:kern w:val="0"/>
          <w:sz w:val="28"/>
          <w:szCs w:val="28"/>
          <w:highlight w:val="none"/>
          <w:lang w:val="en-US" w:eastAsia="zh-CN"/>
        </w:rPr>
      </w:pP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b/>
          <w:bCs/>
          <w:kern w:val="0"/>
          <w:sz w:val="28"/>
          <w:szCs w:val="28"/>
          <w:lang w:val="en-US" w:eastAsia="zh-CN"/>
        </w:rPr>
        <w:t xml:space="preserve">         </w:t>
      </w:r>
      <w:r>
        <w:rPr>
          <w:rFonts w:hint="eastAsia" w:asciiTheme="minorEastAsia" w:hAnsiTheme="minorEastAsia" w:cstheme="minorEastAsia"/>
          <w:color w:val="auto"/>
          <w:kern w:val="0"/>
          <w:sz w:val="28"/>
          <w:szCs w:val="28"/>
          <w:highlight w:val="none"/>
          <w:lang w:val="en-US" w:eastAsia="zh-CN"/>
        </w:rPr>
        <w:t>体育部</w:t>
      </w:r>
    </w:p>
    <w:p w14:paraId="6F88B70D">
      <w:pPr>
        <w:spacing w:line="440" w:lineRule="exact"/>
        <w:rPr>
          <w:rFonts w:hint="default" w:asciiTheme="minorEastAsia" w:hAnsi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lang w:val="en-US" w:eastAsia="zh-CN"/>
        </w:rPr>
        <w:t xml:space="preserve">                                              2025年3月</w:t>
      </w:r>
    </w:p>
    <w:p w14:paraId="1FEFFD66">
      <w:pPr>
        <w:rPr>
          <w:rFonts w:hint="default"/>
          <w:color w:val="auto"/>
          <w:lang w:val="en-US" w:eastAsia="zh-CN"/>
        </w:rPr>
      </w:pPr>
    </w:p>
    <w:p w14:paraId="293271C4">
      <w:pPr>
        <w:rPr>
          <w:rFonts w:hint="default"/>
          <w:color w:val="auto"/>
          <w:lang w:val="en-US" w:eastAsia="zh-CN"/>
        </w:rPr>
      </w:pPr>
    </w:p>
    <w:p w14:paraId="5EB94B01">
      <w:pPr>
        <w:bidi w:val="0"/>
        <w:rPr>
          <w:rFonts w:hint="eastAsia"/>
          <w:color w:val="auto"/>
          <w:lang w:val="en-US" w:eastAsia="zh-CN"/>
        </w:rPr>
      </w:pPr>
    </w:p>
    <w:p w14:paraId="17DD82DF">
      <w:pPr>
        <w:bidi w:val="0"/>
        <w:rPr>
          <w:rFonts w:hint="eastAsia"/>
          <w:color w:val="auto"/>
          <w:lang w:val="en-US" w:eastAsia="zh-CN"/>
        </w:rPr>
      </w:pPr>
    </w:p>
    <w:p w14:paraId="0A987386">
      <w:pPr>
        <w:bidi w:val="0"/>
        <w:rPr>
          <w:rFonts w:hint="eastAsia"/>
          <w:color w:val="auto"/>
          <w:lang w:val="en-US" w:eastAsia="zh-CN"/>
        </w:rPr>
      </w:pPr>
    </w:p>
    <w:p w14:paraId="0AD9893F">
      <w:pPr>
        <w:bidi w:val="0"/>
        <w:rPr>
          <w:rFonts w:hint="eastAsia"/>
          <w:color w:val="auto"/>
          <w:lang w:val="en-US" w:eastAsia="zh-CN"/>
        </w:rPr>
      </w:pPr>
    </w:p>
    <w:p w14:paraId="3CEC4278">
      <w:pPr>
        <w:bidi w:val="0"/>
        <w:rPr>
          <w:rFonts w:hint="eastAsia"/>
          <w:color w:val="auto"/>
          <w:lang w:val="en-US" w:eastAsia="zh-CN"/>
        </w:rPr>
      </w:pPr>
    </w:p>
    <w:p w14:paraId="14F840B5">
      <w:pPr>
        <w:bidi w:val="0"/>
        <w:rPr>
          <w:rFonts w:hint="eastAsia"/>
          <w:color w:val="auto"/>
          <w:lang w:val="en-US" w:eastAsia="zh-CN"/>
        </w:rPr>
      </w:pPr>
    </w:p>
    <w:p w14:paraId="0D03426D">
      <w:pPr>
        <w:bidi w:val="0"/>
        <w:rPr>
          <w:rFonts w:hint="eastAsia"/>
          <w:color w:val="auto"/>
          <w:lang w:val="en-US" w:eastAsia="zh-CN"/>
        </w:rPr>
      </w:pPr>
    </w:p>
    <w:p w14:paraId="39413610">
      <w:pPr>
        <w:bidi w:val="0"/>
        <w:rPr>
          <w:rFonts w:hint="eastAsia"/>
          <w:color w:val="auto"/>
          <w:lang w:val="en-US" w:eastAsia="zh-CN"/>
        </w:rPr>
      </w:pPr>
    </w:p>
    <w:p w14:paraId="06F8C6E4">
      <w:pPr>
        <w:bidi w:val="0"/>
        <w:rPr>
          <w:rFonts w:hint="eastAsia"/>
          <w:color w:val="auto"/>
          <w:lang w:val="en-US" w:eastAsia="zh-CN"/>
        </w:rPr>
      </w:pPr>
    </w:p>
    <w:p w14:paraId="11ADB975">
      <w:pPr>
        <w:bidi w:val="0"/>
        <w:rPr>
          <w:rFonts w:hint="eastAsia"/>
          <w:color w:val="auto"/>
          <w:lang w:val="en-US" w:eastAsia="zh-CN"/>
        </w:rPr>
      </w:pPr>
    </w:p>
    <w:p w14:paraId="21433A9F">
      <w:pPr>
        <w:bidi w:val="0"/>
        <w:rPr>
          <w:rFonts w:hint="eastAsia"/>
          <w:color w:val="auto"/>
          <w:lang w:val="en-US" w:eastAsia="zh-CN"/>
        </w:rPr>
      </w:pPr>
    </w:p>
    <w:p w14:paraId="6F4EA2DE">
      <w:pPr>
        <w:bidi w:val="0"/>
        <w:rPr>
          <w:rFonts w:hint="eastAsia"/>
          <w:color w:val="auto"/>
          <w:lang w:val="en-US" w:eastAsia="zh-CN"/>
        </w:rPr>
      </w:pPr>
    </w:p>
    <w:p w14:paraId="42805A88">
      <w:pPr>
        <w:bidi w:val="0"/>
        <w:rPr>
          <w:rFonts w:hint="eastAsia"/>
          <w:color w:val="auto"/>
          <w:lang w:val="en-US" w:eastAsia="zh-CN"/>
        </w:rPr>
      </w:pPr>
    </w:p>
    <w:p w14:paraId="29789650">
      <w:pPr>
        <w:bidi w:val="0"/>
        <w:rPr>
          <w:rFonts w:hint="eastAsia"/>
          <w:color w:val="auto"/>
          <w:lang w:val="en-US" w:eastAsia="zh-CN"/>
        </w:rPr>
      </w:pPr>
    </w:p>
    <w:p w14:paraId="06D8F876">
      <w:pPr>
        <w:bidi w:val="0"/>
        <w:rPr>
          <w:rFonts w:hint="eastAsia"/>
          <w:color w:val="auto"/>
          <w:lang w:val="en-US" w:eastAsia="zh-CN"/>
        </w:rPr>
      </w:pPr>
    </w:p>
    <w:p w14:paraId="31DA297D">
      <w:pPr>
        <w:bidi w:val="0"/>
        <w:rPr>
          <w:rFonts w:hint="eastAsia"/>
          <w:color w:val="auto"/>
          <w:lang w:val="en-US" w:eastAsia="zh-CN"/>
        </w:rPr>
      </w:pPr>
    </w:p>
    <w:p w14:paraId="2D494E04">
      <w:pPr>
        <w:bidi w:val="0"/>
        <w:rPr>
          <w:rFonts w:hint="eastAsia"/>
          <w:color w:val="auto"/>
          <w:lang w:val="en-US" w:eastAsia="zh-CN"/>
        </w:rPr>
      </w:pPr>
    </w:p>
    <w:p w14:paraId="388C2EB7">
      <w:pPr>
        <w:bidi w:val="0"/>
        <w:rPr>
          <w:rFonts w:hint="eastAsia"/>
          <w:color w:val="auto"/>
          <w:lang w:val="en-US" w:eastAsia="zh-CN"/>
        </w:rPr>
      </w:pPr>
    </w:p>
    <w:p w14:paraId="0DA54E11">
      <w:pPr>
        <w:bidi w:val="0"/>
        <w:rPr>
          <w:rFonts w:hint="eastAsia"/>
          <w:color w:val="auto"/>
          <w:lang w:val="en-US" w:eastAsia="zh-CN"/>
        </w:rPr>
      </w:pPr>
    </w:p>
    <w:p w14:paraId="5F970515">
      <w:pPr>
        <w:pStyle w:val="2"/>
        <w:bidi w:val="0"/>
        <w:rPr>
          <w:rFonts w:hint="default"/>
          <w:color w:val="auto"/>
          <w:sz w:val="52"/>
          <w:szCs w:val="52"/>
          <w:lang w:val="en-US" w:eastAsia="zh-CN"/>
        </w:rPr>
      </w:pPr>
      <w:bookmarkStart w:id="25" w:name="_Toc32484"/>
      <w:r>
        <w:rPr>
          <w:rFonts w:hint="eastAsia"/>
          <w:color w:val="auto"/>
          <w:sz w:val="52"/>
          <w:szCs w:val="52"/>
          <w:lang w:val="en-US" w:eastAsia="zh-CN"/>
        </w:rPr>
        <w:t>第二部分 质量监控与保障体系制度</w:t>
      </w:r>
      <w:bookmarkEnd w:id="25"/>
    </w:p>
    <w:p w14:paraId="6200C30D">
      <w:pPr>
        <w:pStyle w:val="2"/>
        <w:bidi w:val="0"/>
        <w:rPr>
          <w:rFonts w:hint="eastAsia"/>
          <w:color w:val="auto"/>
          <w:sz w:val="52"/>
          <w:szCs w:val="52"/>
          <w:lang w:val="en-US" w:eastAsia="zh-CN"/>
        </w:rPr>
        <w:sectPr>
          <w:pgSz w:w="11906" w:h="16838"/>
          <w:pgMar w:top="1440" w:right="1800" w:bottom="1440" w:left="1800" w:header="851" w:footer="992" w:gutter="0"/>
          <w:pgNumType w:fmt="decimal"/>
          <w:cols w:space="425" w:num="1"/>
          <w:docGrid w:type="lines" w:linePitch="312" w:charSpace="0"/>
        </w:sectPr>
      </w:pPr>
    </w:p>
    <w:p w14:paraId="2DB98CD3">
      <w:pPr>
        <w:pStyle w:val="3"/>
        <w:bidi w:val="0"/>
        <w:jc w:val="center"/>
        <w:rPr>
          <w:rFonts w:hint="eastAsia" w:asciiTheme="minorEastAsia" w:hAnsiTheme="minorEastAsia" w:cstheme="minorEastAsia"/>
          <w:color w:val="auto"/>
          <w:kern w:val="0"/>
          <w:sz w:val="28"/>
          <w:szCs w:val="28"/>
          <w:highlight w:val="none"/>
        </w:rPr>
      </w:pPr>
      <w:bookmarkStart w:id="26" w:name="_Toc17381"/>
      <w:r>
        <w:rPr>
          <w:rFonts w:hint="eastAsia"/>
          <w:color w:val="auto"/>
          <w:sz w:val="36"/>
          <w:szCs w:val="36"/>
          <w:lang w:val="en-US" w:eastAsia="zh-CN"/>
        </w:rPr>
        <w:t>体育部年度教学质量奖评选实施细则</w:t>
      </w:r>
      <w:bookmarkEnd w:id="26"/>
    </w:p>
    <w:p w14:paraId="2B70F00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为做好体育部年度教学质量奖的评选推荐工作，发挥体育部教学工作评价的激励作用和优秀教师的示范作用，增强体育部教师的教学质量意识，不断提高教学能力和人才培养质量，根据《湖南女子学院教学质量优秀奖考核评选办法》（湘女院行字〔2022〕59号）和学校有关文件精神，特制定本细则。</w:t>
      </w:r>
    </w:p>
    <w:p w14:paraId="4E13EC8F">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一、组织机构</w:t>
      </w:r>
    </w:p>
    <w:p w14:paraId="535220E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根据《湖南女子学院教学质量优秀奖考核评选办法》第二章第五条规定，“各院部成立教学质量优秀奖考评小组，负责本单位教师教学质量奖考评相关事宜。组长由各二级学院院长担任，教学副院长任副组长，成员由教学督导、系/教研室主任及教师代表组成”，据此成立教学质量优秀奖考评小组。组成成员如下：</w:t>
      </w:r>
    </w:p>
    <w:p w14:paraId="6E1F475F">
      <w:pPr>
        <w:snapToGrid w:val="0"/>
        <w:spacing w:line="440" w:lineRule="exact"/>
        <w:ind w:firstLine="560" w:firstLineChars="200"/>
        <w:jc w:val="left"/>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rPr>
        <w:t>组长：体育部主任</w:t>
      </w:r>
      <w:r>
        <w:rPr>
          <w:rFonts w:hint="eastAsia" w:asciiTheme="minorEastAsia" w:hAnsiTheme="minorEastAsia" w:cstheme="minorEastAsia"/>
          <w:color w:val="auto"/>
          <w:kern w:val="0"/>
          <w:sz w:val="28"/>
          <w:szCs w:val="28"/>
          <w:highlight w:val="none"/>
          <w:lang w:val="en-US" w:eastAsia="zh-CN"/>
        </w:rPr>
        <w:t>或</w:t>
      </w:r>
      <w:r>
        <w:rPr>
          <w:rFonts w:hint="eastAsia" w:asciiTheme="minorEastAsia" w:hAnsiTheme="minorEastAsia" w:cstheme="minorEastAsia"/>
          <w:color w:val="auto"/>
          <w:kern w:val="0"/>
          <w:sz w:val="28"/>
          <w:szCs w:val="28"/>
          <w:highlight w:val="none"/>
        </w:rPr>
        <w:t>体育部副主任</w:t>
      </w:r>
      <w:r>
        <w:rPr>
          <w:rFonts w:hint="eastAsia" w:asciiTheme="minorEastAsia" w:hAnsiTheme="minorEastAsia" w:cstheme="minorEastAsia"/>
          <w:color w:val="auto"/>
          <w:kern w:val="0"/>
          <w:sz w:val="28"/>
          <w:szCs w:val="28"/>
          <w:highlight w:val="none"/>
          <w:lang w:eastAsia="zh-CN"/>
        </w:rPr>
        <w:t>（</w:t>
      </w:r>
      <w:r>
        <w:rPr>
          <w:rFonts w:hint="eastAsia" w:asciiTheme="minorEastAsia" w:hAnsiTheme="minorEastAsia" w:cstheme="minorEastAsia"/>
          <w:color w:val="auto"/>
          <w:kern w:val="0"/>
          <w:sz w:val="28"/>
          <w:szCs w:val="28"/>
          <w:highlight w:val="none"/>
          <w:lang w:val="en-US" w:eastAsia="zh-CN"/>
        </w:rPr>
        <w:t>主持工作）</w:t>
      </w:r>
    </w:p>
    <w:p w14:paraId="5F2E195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副组长：</w:t>
      </w:r>
      <w:r>
        <w:rPr>
          <w:rFonts w:hint="eastAsia" w:asciiTheme="minorEastAsia" w:hAnsiTheme="minorEastAsia" w:cstheme="minorEastAsia"/>
          <w:color w:val="auto"/>
          <w:kern w:val="0"/>
          <w:sz w:val="28"/>
          <w:szCs w:val="28"/>
          <w:highlight w:val="none"/>
          <w:lang w:val="en-US" w:eastAsia="zh-CN"/>
        </w:rPr>
        <w:t>分管教学</w:t>
      </w:r>
      <w:r>
        <w:rPr>
          <w:rFonts w:hint="eastAsia" w:asciiTheme="minorEastAsia" w:hAnsiTheme="minorEastAsia" w:cstheme="minorEastAsia"/>
          <w:color w:val="auto"/>
          <w:kern w:val="0"/>
          <w:sz w:val="28"/>
          <w:szCs w:val="28"/>
          <w:highlight w:val="none"/>
        </w:rPr>
        <w:t>工作体育部副主任</w:t>
      </w:r>
    </w:p>
    <w:p w14:paraId="35A9A5C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成员：各教研室主任、体育部综合办公室主任、体育部教学督导</w:t>
      </w:r>
    </w:p>
    <w:p w14:paraId="3E954D67">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二、考核内容与考核方法</w:t>
      </w:r>
    </w:p>
    <w:p w14:paraId="70EC8EB4">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（一）教师教学质量优秀奖考评内容</w:t>
      </w:r>
    </w:p>
    <w:p w14:paraId="0520FE6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主要包括师德师风（权重占比10%）、课程教学质量（权重占比80%）、教学工作量与教学业绩（权重占比10%）三大部分内容。</w:t>
      </w:r>
    </w:p>
    <w:p w14:paraId="2CD2154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（二）师德师风评选办法</w:t>
      </w:r>
    </w:p>
    <w:p w14:paraId="74E1FC4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该项占评奖的权重为10%，由基础分与附加分两项构成。</w:t>
      </w:r>
    </w:p>
    <w:p w14:paraId="4CB8BFB4">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基础分（90分）：</w:t>
      </w:r>
    </w:p>
    <w:p w14:paraId="3B276B4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热爱教育事业，主动承担教学任务，自觉履行《新时代高校教师职业行为十项准则》《湖南女子学院教师教学工作规范》等文件要求，模范遵守学校的各项规章制度，教书育人，恪尽职守，刻苦钻研，认真备课，教风严谨、责任心强，对教学工作投入精力大，有较高的教学水平，有明显的教学特色，教书育人方面深受学生喜爱，无相应教学差错或教学事故通报者计90分。</w:t>
      </w:r>
    </w:p>
    <w:p w14:paraId="139C7AC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附加分（最高10分）：</w:t>
      </w:r>
    </w:p>
    <w:p w14:paraId="6161096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近三年获得校级师德先进个人（标兵）等相关荣誉加5分，省级师德先进个人（标兵）等相关荣誉加10分。相同级别荣誉不重复加分。</w:t>
      </w:r>
    </w:p>
    <w:p w14:paraId="5374341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师德师风单项总分不超过100分。</w:t>
      </w:r>
    </w:p>
    <w:p w14:paraId="4C306FB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（三）课程教学质量</w:t>
      </w:r>
    </w:p>
    <w:p w14:paraId="57B56F6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课程教学质量根据《湖南女子学院教学质量优秀奖考核评选办法》计算，总分为100分，积分依据学校教学质量检测与评估中心对任课教师每学期的课程教学情况等进行综合评价的得分，课程教学质量评价成绩取两学期的综合成绩平均值。</w:t>
      </w:r>
    </w:p>
    <w:p w14:paraId="1A9E874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（四）教学工作量与教学业绩</w:t>
      </w:r>
    </w:p>
    <w:p w14:paraId="08A29C7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本项权重为10%，分教学工作量与教学业绩两部分计分，教学工作量为先决条件，教学业绩占100分，总分100分。</w:t>
      </w:r>
    </w:p>
    <w:p w14:paraId="725A6EF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教学工作量的规定：</w:t>
      </w:r>
    </w:p>
    <w:p w14:paraId="23521CE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本项所指工作量包括课堂教学、实践教学（含带队指导实习、指导毕业论文毕业设计等）、培养方案及教学大纲修订等环节的折合工作量（因相关工作量难以量化，监考、阅卷及其他教学类工作量暂不纳入本次工作量计算范围），具体根据《湖南女子学院教学工作量计算办法》等相关规定核算。</w:t>
      </w:r>
    </w:p>
    <w:p w14:paraId="15E7218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凡是工作量达到学校规定要求的即可，未满工作量的属于一票否决之列。</w:t>
      </w:r>
    </w:p>
    <w:p w14:paraId="1785FFB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“教学业绩”评分：</w:t>
      </w:r>
    </w:p>
    <w:p w14:paraId="42E7355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本项包括教学质量工程项目、教学成果奖、教师教学竞赛、教研论文、教材，以及指导学生竞赛获奖、在省级以上刊物发表论文、论文获奖/优秀等级、立项省级以上学生项目、考取研究生等。</w:t>
      </w:r>
    </w:p>
    <w:p w14:paraId="06063B1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其中，教学质量工程项目、教学成果奖、教师教学竞赛、教研论文及指导学生竞赛获奖根据《湖南女子学院教学工作业绩核算办法》和《湖南女子学院科研工作业绩核算办法》核算积分；主编国家级、省级规划/优秀教材每部分别计30分、10分，主编一般教材计4分；指导学生在省级以上刊物发表论文或论文获省级奖/优秀等级每篇计3分，论文获市厅、校级奖/优秀等级（含校级优秀毕业论文）每篇计2分，立项或验收国家级、省级、校级学生项目每项分别计20分、4分、1分，考取研究生每生计3分（本年度无特别规定者，考取研究生的指导教师为毕业论文指导教师，若学生出具了考研指导老师为非毕业论文指导老师的，以学生出具的证明为准）。</w:t>
      </w:r>
    </w:p>
    <w:p w14:paraId="1238496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教师当年获得教学工作业绩积分2分，教学业绩考评计70分，教学工作业绩积分每超过1分，加1分，教学业绩考评总分不超过100分。</w:t>
      </w:r>
    </w:p>
    <w:p w14:paraId="58556F4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说明：在以上各项教学业绩中，只要老师们获得了其中的2分，比如指导学生发表论文一篇即可以获得70分的基本业绩分，超过部分计算在70 - 100之间，累计加分最多不超过30分。</w:t>
      </w:r>
    </w:p>
    <w:p w14:paraId="68AA2D41">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三、申报条件</w:t>
      </w:r>
    </w:p>
    <w:p w14:paraId="3429CE8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体育部在岗主讲教师符合下列条件，均可申报参加教学质量优秀奖评选：</w:t>
      </w:r>
    </w:p>
    <w:p w14:paraId="6D45580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坚持四项基本原则，认真贯彻党的教育方针，拥护党的路线、方针、政策，忠诚党的教育事业，模范遵守职业道德规范，具有强烈的事业心和协作精神，治学严谨、教风端正、教书育人、为人师表。</w:t>
      </w:r>
    </w:p>
    <w:p w14:paraId="023B831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热爱本职工作，有较强的敬业精神，严格遵守学校的教学纪律，近三年内未受过处分，无师德师风问题，无教学事故，无被学校认定的学生有效投诉，主动接受学校和体育部教学任务安排。</w:t>
      </w:r>
    </w:p>
    <w:p w14:paraId="11BF22F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在我校担任主讲教师一年以上的体育部教师，当年完成学校规定的基本教学工作量（专任教师课堂教学工作量不少于256学时，总教学工作量不少于320学时，行政兼课教师课堂教学工作量不少于64课时，总教学工作量不少于80学时，学校有特殊规定的岗位，按规定执行）。</w:t>
      </w:r>
    </w:p>
    <w:p w14:paraId="197F194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教学质量考评分数同时符合以下条件：</w:t>
      </w:r>
    </w:p>
    <w:p w14:paraId="27F1B45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师德师风考评分数90分以上；</w:t>
      </w:r>
    </w:p>
    <w:p w14:paraId="7EE53F8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课程教学质量考评分数90分以上（即两个学期教师综合评分的平均分达到90分及以上）；</w:t>
      </w:r>
    </w:p>
    <w:p w14:paraId="687D33C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综合考评总分90分以上（师德师风分加课程教学质量考评分加教学工作量与教学业绩分的平均分在90分及以上）。</w:t>
      </w:r>
    </w:p>
    <w:p w14:paraId="514E0898">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四、考评程序</w:t>
      </w:r>
    </w:p>
    <w:p w14:paraId="1556FAA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根据学校发布的学年教学质量优秀奖考评通知，体育部综合办公室制定考评方案并发布，明确申报时间及材料接受人。</w:t>
      </w:r>
    </w:p>
    <w:p w14:paraId="4E433FB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综合办公室组织教师申报，教师提交《湖南女子学院教学质量优秀奖申报表》（附件1）《体育部教师教学质量优秀奖自评表》（附件2）及师德荣誉和教学业绩的证明材料（材料时间为上一年9月1日至本年8月31日）。</w:t>
      </w:r>
    </w:p>
    <w:p w14:paraId="5F05E19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材料提交要求：</w:t>
      </w:r>
    </w:p>
    <w:p w14:paraId="36ECBDA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电子稿：附件一、附件二需打包发送至体育部综合办公室干事。</w:t>
      </w:r>
    </w:p>
    <w:p w14:paraId="065E18A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打印稿：附件一、附件二及证明材料一份，用档案袋装好，一人一袋，档案袋封面贴好申报人信息。以上材料提交至体育部综合办公室。</w:t>
      </w:r>
    </w:p>
    <w:p w14:paraId="30AD3E8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根据当年的时间安排，体育部考评领导小组审核和评价申报教师的师德师风、课程教学质量及教学工作量和教学业绩情况，根据考评细则计算教师考评总成绩，确定教学质量优秀奖推荐名单（根据学校规定，推荐人数不超过本单位本学年承担课程教学任务的本校在职在岗教师数的15%，其中行政兼课教师不超过推荐人数的三分之一），综合办公室填写《湖南女子学院教学质量优秀奖推荐名单汇总表》（附件3）。</w:t>
      </w:r>
    </w:p>
    <w:p w14:paraId="6BD9D6B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体育部将任课教师教学质量优秀奖推荐名单在体育部网页或体育部公共群公示5天，将经公示无异议的推荐名单和《湖南女子学院教学质量优秀奖申报表》及证明材料在规定时限内交教学质量监测与评估中心。</w:t>
      </w:r>
    </w:p>
    <w:p w14:paraId="0DBBAAE4">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五、附则</w:t>
      </w:r>
    </w:p>
    <w:p w14:paraId="6455240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本办法自202</w:t>
      </w:r>
      <w:r>
        <w:rPr>
          <w:rFonts w:hint="eastAsia" w:asciiTheme="minorEastAsia" w:hAnsiTheme="minorEastAsia" w:cstheme="minorEastAsia"/>
          <w:color w:val="auto"/>
          <w:kern w:val="0"/>
          <w:sz w:val="28"/>
          <w:szCs w:val="28"/>
          <w:highlight w:val="none"/>
          <w:lang w:val="en-US" w:eastAsia="zh-CN"/>
        </w:rPr>
        <w:t>5</w:t>
      </w:r>
      <w:r>
        <w:rPr>
          <w:rFonts w:hint="eastAsia" w:asciiTheme="minorEastAsia" w:hAnsiTheme="minorEastAsia" w:cstheme="minorEastAsia"/>
          <w:color w:val="auto"/>
          <w:kern w:val="0"/>
          <w:sz w:val="28"/>
          <w:szCs w:val="28"/>
          <w:highlight w:val="none"/>
        </w:rPr>
        <w:t>年</w:t>
      </w:r>
      <w:r>
        <w:rPr>
          <w:rFonts w:hint="eastAsia" w:asciiTheme="minorEastAsia" w:hAnsiTheme="minorEastAsia" w:cstheme="minorEastAsia"/>
          <w:color w:val="auto"/>
          <w:kern w:val="0"/>
          <w:sz w:val="28"/>
          <w:szCs w:val="28"/>
          <w:highlight w:val="none"/>
          <w:lang w:val="en-US" w:eastAsia="zh-CN"/>
        </w:rPr>
        <w:t>3</w:t>
      </w:r>
      <w:r>
        <w:rPr>
          <w:rFonts w:hint="eastAsia" w:asciiTheme="minorEastAsia" w:hAnsiTheme="minorEastAsia" w:cstheme="minorEastAsia"/>
          <w:color w:val="auto"/>
          <w:kern w:val="0"/>
          <w:sz w:val="28"/>
          <w:szCs w:val="28"/>
          <w:highlight w:val="none"/>
        </w:rPr>
        <w:t>月开始执行。</w:t>
      </w:r>
    </w:p>
    <w:p w14:paraId="583A77D4">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本办法由体育部综合办公室负责解释。</w:t>
      </w:r>
    </w:p>
    <w:p w14:paraId="193ED6E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7ECD5C64">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4A476E54">
      <w:pPr>
        <w:spacing w:line="440" w:lineRule="exact"/>
        <w:ind w:firstLine="5040" w:firstLineChars="1800"/>
        <w:rPr>
          <w:rFonts w:hint="eastAsia" w:asciiTheme="minorEastAsia" w:hAnsiTheme="minorEastAsia"/>
          <w:color w:val="auto"/>
          <w:sz w:val="28"/>
          <w:szCs w:val="28"/>
        </w:rPr>
      </w:pP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stheme="minorEastAsia"/>
          <w:color w:val="auto"/>
          <w:kern w:val="0"/>
          <w:sz w:val="28"/>
          <w:szCs w:val="28"/>
          <w:highlight w:val="none"/>
        </w:rPr>
        <w:t xml:space="preserve"> </w:t>
      </w: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olor w:val="auto"/>
          <w:sz w:val="28"/>
          <w:szCs w:val="28"/>
        </w:rPr>
        <w:t>体育部</w:t>
      </w:r>
    </w:p>
    <w:p w14:paraId="3D30914D">
      <w:pPr>
        <w:snapToGrid w:val="0"/>
        <w:spacing w:line="440" w:lineRule="exact"/>
        <w:ind w:firstLine="560" w:firstLineChars="200"/>
        <w:jc w:val="right"/>
        <w:rPr>
          <w:rFonts w:asciiTheme="minorEastAsia" w:hAnsiTheme="minorEastAsia" w:cstheme="minorEastAsia"/>
          <w:color w:val="auto"/>
          <w:sz w:val="28"/>
          <w:szCs w:val="28"/>
          <w:highlight w:val="none"/>
        </w:rPr>
      </w:pP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月</w:t>
      </w:r>
    </w:p>
    <w:p w14:paraId="5FAFC444">
      <w:pPr>
        <w:snapToGrid w:val="0"/>
        <w:spacing w:line="400" w:lineRule="exact"/>
        <w:ind w:firstLine="420" w:firstLineChars="200"/>
        <w:rPr>
          <w:rFonts w:asciiTheme="minorEastAsia" w:hAnsiTheme="minorEastAsia" w:cstheme="minorEastAsia"/>
          <w:color w:val="auto"/>
          <w:szCs w:val="21"/>
          <w:highlight w:val="none"/>
        </w:rPr>
      </w:pPr>
    </w:p>
    <w:p w14:paraId="6CDDD167">
      <w:pPr>
        <w:snapToGrid w:val="0"/>
        <w:spacing w:line="400" w:lineRule="exact"/>
        <w:ind w:firstLine="420" w:firstLineChars="200"/>
        <w:rPr>
          <w:rFonts w:asciiTheme="minorEastAsia" w:hAnsiTheme="minorEastAsia" w:cstheme="minorEastAsia"/>
          <w:color w:val="auto"/>
          <w:szCs w:val="21"/>
          <w:highlight w:val="none"/>
        </w:rPr>
      </w:pPr>
    </w:p>
    <w:p w14:paraId="2168615D">
      <w:pPr>
        <w:snapToGrid w:val="0"/>
        <w:spacing w:line="400" w:lineRule="exact"/>
        <w:ind w:firstLine="420" w:firstLineChars="200"/>
        <w:rPr>
          <w:rFonts w:asciiTheme="minorEastAsia" w:hAnsiTheme="minorEastAsia" w:cstheme="minorEastAsia"/>
          <w:color w:val="auto"/>
          <w:szCs w:val="21"/>
          <w:highlight w:val="none"/>
        </w:rPr>
      </w:pPr>
    </w:p>
    <w:p w14:paraId="512E024C">
      <w:pPr>
        <w:snapToGrid w:val="0"/>
        <w:spacing w:line="400" w:lineRule="exact"/>
        <w:ind w:firstLine="420" w:firstLineChars="200"/>
        <w:rPr>
          <w:rFonts w:asciiTheme="minorEastAsia" w:hAnsiTheme="minorEastAsia" w:cstheme="minorEastAsia"/>
          <w:color w:val="auto"/>
          <w:szCs w:val="21"/>
          <w:highlight w:val="none"/>
        </w:rPr>
      </w:pPr>
    </w:p>
    <w:p w14:paraId="55ECE365">
      <w:pPr>
        <w:snapToGrid w:val="0"/>
        <w:spacing w:line="400" w:lineRule="exact"/>
        <w:ind w:firstLine="420" w:firstLineChars="200"/>
        <w:rPr>
          <w:rFonts w:asciiTheme="minorEastAsia" w:hAnsiTheme="minorEastAsia" w:cstheme="minorEastAsia"/>
          <w:color w:val="auto"/>
          <w:szCs w:val="21"/>
          <w:highlight w:val="none"/>
        </w:rPr>
      </w:pPr>
    </w:p>
    <w:p w14:paraId="30AA2F87">
      <w:pPr>
        <w:snapToGrid w:val="0"/>
        <w:spacing w:line="400" w:lineRule="exact"/>
        <w:ind w:firstLine="420" w:firstLineChars="200"/>
        <w:rPr>
          <w:rFonts w:asciiTheme="minorEastAsia" w:hAnsiTheme="minorEastAsia" w:cstheme="minorEastAsia"/>
          <w:color w:val="auto"/>
          <w:szCs w:val="21"/>
          <w:highlight w:val="none"/>
        </w:rPr>
      </w:pPr>
    </w:p>
    <w:p w14:paraId="272E8C4E">
      <w:pPr>
        <w:snapToGrid w:val="0"/>
        <w:spacing w:line="400" w:lineRule="exact"/>
        <w:ind w:firstLine="420" w:firstLineChars="200"/>
        <w:rPr>
          <w:rFonts w:asciiTheme="minorEastAsia" w:hAnsiTheme="minorEastAsia" w:cstheme="minorEastAsia"/>
          <w:color w:val="auto"/>
          <w:szCs w:val="21"/>
          <w:highlight w:val="none"/>
        </w:rPr>
      </w:pPr>
    </w:p>
    <w:p w14:paraId="7434ADEA">
      <w:pPr>
        <w:snapToGrid w:val="0"/>
        <w:spacing w:line="400" w:lineRule="exact"/>
        <w:ind w:firstLine="420" w:firstLineChars="200"/>
        <w:rPr>
          <w:rFonts w:asciiTheme="minorEastAsia" w:hAnsiTheme="minorEastAsia" w:cstheme="minorEastAsia"/>
          <w:color w:val="auto"/>
          <w:szCs w:val="21"/>
          <w:highlight w:val="none"/>
        </w:rPr>
      </w:pPr>
    </w:p>
    <w:p w14:paraId="0A188ECC">
      <w:pPr>
        <w:snapToGrid w:val="0"/>
        <w:spacing w:line="400" w:lineRule="exact"/>
        <w:ind w:firstLine="420" w:firstLineChars="200"/>
        <w:rPr>
          <w:rFonts w:asciiTheme="minorEastAsia" w:hAnsiTheme="minorEastAsia" w:cstheme="minorEastAsia"/>
          <w:color w:val="auto"/>
          <w:szCs w:val="21"/>
          <w:highlight w:val="none"/>
        </w:rPr>
      </w:pPr>
    </w:p>
    <w:p w14:paraId="61819585">
      <w:pPr>
        <w:snapToGrid w:val="0"/>
        <w:spacing w:line="400" w:lineRule="exact"/>
        <w:ind w:firstLine="420" w:firstLineChars="200"/>
        <w:rPr>
          <w:rFonts w:asciiTheme="minorEastAsia" w:hAnsiTheme="minorEastAsia" w:cstheme="minorEastAsia"/>
          <w:color w:val="auto"/>
          <w:szCs w:val="21"/>
          <w:highlight w:val="none"/>
        </w:rPr>
      </w:pPr>
    </w:p>
    <w:p w14:paraId="2009E67D">
      <w:pPr>
        <w:snapToGrid w:val="0"/>
        <w:spacing w:line="400" w:lineRule="exact"/>
        <w:ind w:firstLine="420" w:firstLineChars="200"/>
        <w:rPr>
          <w:rFonts w:asciiTheme="minorEastAsia" w:hAnsiTheme="minorEastAsia" w:cstheme="minorEastAsia"/>
          <w:color w:val="auto"/>
          <w:szCs w:val="21"/>
          <w:highlight w:val="none"/>
        </w:rPr>
      </w:pPr>
    </w:p>
    <w:p w14:paraId="0E6FCD03">
      <w:pPr>
        <w:snapToGrid w:val="0"/>
        <w:spacing w:line="400" w:lineRule="exact"/>
        <w:ind w:firstLine="420" w:firstLineChars="200"/>
        <w:rPr>
          <w:rFonts w:asciiTheme="minorEastAsia" w:hAnsiTheme="minorEastAsia" w:cstheme="minorEastAsia"/>
          <w:color w:val="auto"/>
          <w:szCs w:val="21"/>
          <w:highlight w:val="none"/>
        </w:rPr>
      </w:pPr>
    </w:p>
    <w:p w14:paraId="3B9FE1CC">
      <w:pPr>
        <w:snapToGrid w:val="0"/>
        <w:spacing w:line="400" w:lineRule="exact"/>
        <w:ind w:firstLine="420" w:firstLineChars="200"/>
        <w:rPr>
          <w:rFonts w:asciiTheme="minorEastAsia" w:hAnsiTheme="minorEastAsia" w:cstheme="minorEastAsia"/>
          <w:color w:val="auto"/>
          <w:szCs w:val="21"/>
          <w:highlight w:val="none"/>
        </w:rPr>
      </w:pPr>
    </w:p>
    <w:p w14:paraId="54E676F7">
      <w:pPr>
        <w:snapToGrid w:val="0"/>
        <w:spacing w:line="400" w:lineRule="exact"/>
        <w:ind w:firstLine="420" w:firstLineChars="200"/>
        <w:rPr>
          <w:rFonts w:asciiTheme="minorEastAsia" w:hAnsiTheme="minorEastAsia" w:cstheme="minorEastAsia"/>
          <w:color w:val="auto"/>
          <w:szCs w:val="21"/>
          <w:highlight w:val="none"/>
        </w:rPr>
      </w:pPr>
    </w:p>
    <w:p w14:paraId="0EE4764F">
      <w:pPr>
        <w:snapToGrid w:val="0"/>
        <w:spacing w:line="400" w:lineRule="exact"/>
        <w:ind w:firstLine="420" w:firstLineChars="200"/>
        <w:rPr>
          <w:rFonts w:asciiTheme="minorEastAsia" w:hAnsiTheme="minorEastAsia" w:cstheme="minorEastAsia"/>
          <w:color w:val="auto"/>
          <w:szCs w:val="21"/>
          <w:highlight w:val="none"/>
        </w:rPr>
      </w:pPr>
    </w:p>
    <w:p w14:paraId="2D356E18">
      <w:pPr>
        <w:snapToGrid w:val="0"/>
        <w:spacing w:line="400" w:lineRule="exact"/>
        <w:ind w:firstLine="420" w:firstLineChars="200"/>
        <w:rPr>
          <w:rFonts w:asciiTheme="minorEastAsia" w:hAnsiTheme="minorEastAsia" w:cstheme="minorEastAsia"/>
          <w:color w:val="auto"/>
          <w:szCs w:val="21"/>
          <w:highlight w:val="none"/>
        </w:rPr>
      </w:pPr>
    </w:p>
    <w:p w14:paraId="2F41C0A3">
      <w:pPr>
        <w:snapToGrid w:val="0"/>
        <w:spacing w:line="400" w:lineRule="exact"/>
        <w:ind w:firstLine="420" w:firstLineChars="200"/>
        <w:rPr>
          <w:rFonts w:asciiTheme="minorEastAsia" w:hAnsiTheme="minorEastAsia" w:cstheme="minorEastAsia"/>
          <w:color w:val="auto"/>
          <w:szCs w:val="21"/>
          <w:highlight w:val="none"/>
        </w:rPr>
      </w:pPr>
    </w:p>
    <w:p w14:paraId="4011581B">
      <w:pPr>
        <w:snapToGrid w:val="0"/>
        <w:spacing w:line="400" w:lineRule="exact"/>
        <w:ind w:firstLine="420" w:firstLineChars="200"/>
        <w:rPr>
          <w:rFonts w:asciiTheme="minorEastAsia" w:hAnsiTheme="minorEastAsia" w:cstheme="minorEastAsia"/>
          <w:color w:val="auto"/>
          <w:szCs w:val="21"/>
          <w:highlight w:val="none"/>
        </w:rPr>
      </w:pPr>
    </w:p>
    <w:p w14:paraId="03376D18">
      <w:pPr>
        <w:snapToGrid w:val="0"/>
        <w:spacing w:line="400" w:lineRule="exact"/>
        <w:ind w:firstLine="420" w:firstLineChars="200"/>
        <w:rPr>
          <w:rFonts w:asciiTheme="minorEastAsia" w:hAnsiTheme="minorEastAsia" w:cstheme="minorEastAsia"/>
          <w:color w:val="auto"/>
          <w:szCs w:val="21"/>
          <w:highlight w:val="none"/>
        </w:rPr>
      </w:pPr>
    </w:p>
    <w:p w14:paraId="5E7ACAB0">
      <w:pPr>
        <w:spacing w:line="560" w:lineRule="exact"/>
        <w:ind w:right="600"/>
        <w:rPr>
          <w:rFonts w:hint="eastAsia" w:ascii="黑体" w:hAnsi="黑体" w:eastAsia="黑体" w:cs="黑体"/>
          <w:color w:val="auto"/>
          <w:sz w:val="28"/>
          <w:szCs w:val="28"/>
        </w:rPr>
      </w:pPr>
      <w:r>
        <w:rPr>
          <w:rFonts w:hint="eastAsia" w:ascii="黑体" w:hAnsi="黑体" w:eastAsia="黑体" w:cs="黑体"/>
          <w:color w:val="auto"/>
          <w:sz w:val="28"/>
          <w:szCs w:val="28"/>
        </w:rPr>
        <w:t>附件1：</w:t>
      </w:r>
    </w:p>
    <w:p w14:paraId="22E4116C">
      <w:pPr>
        <w:bidi w:val="0"/>
        <w:jc w:val="center"/>
        <w:outlineLvl w:val="9"/>
        <w:rPr>
          <w:rFonts w:hint="eastAsia" w:ascii="黑体" w:hAnsi="黑体" w:eastAsia="黑体" w:cs="黑体"/>
          <w:b/>
          <w:color w:val="auto"/>
          <w:szCs w:val="44"/>
          <w:lang w:eastAsia="zh-CN"/>
        </w:rPr>
      </w:pPr>
      <w:r>
        <w:rPr>
          <w:rFonts w:hint="eastAsia" w:ascii="黑体" w:hAnsi="黑体" w:eastAsia="黑体" w:cs="黑体"/>
          <w:color w:val="auto"/>
          <w:sz w:val="44"/>
          <w:szCs w:val="44"/>
          <w:lang w:eastAsia="zh-CN"/>
        </w:rPr>
        <w:t>湖南女子</w:t>
      </w:r>
      <w:r>
        <w:rPr>
          <w:rFonts w:hint="eastAsia" w:ascii="黑体" w:hAnsi="黑体" w:eastAsia="黑体" w:cs="黑体"/>
          <w:color w:val="auto"/>
          <w:sz w:val="44"/>
          <w:szCs w:val="44"/>
        </w:rPr>
        <w:t>学院教学质量优秀奖</w:t>
      </w:r>
      <w:r>
        <w:rPr>
          <w:rFonts w:hint="eastAsia" w:ascii="黑体" w:hAnsi="黑体" w:eastAsia="黑体" w:cs="黑体"/>
          <w:color w:val="auto"/>
          <w:sz w:val="44"/>
          <w:szCs w:val="44"/>
          <w:lang w:eastAsia="zh-CN"/>
        </w:rPr>
        <w:t>申报表</w:t>
      </w:r>
    </w:p>
    <w:p w14:paraId="24158749">
      <w:pPr>
        <w:jc w:val="center"/>
        <w:rPr>
          <w:rFonts w:hint="eastAsia" w:ascii="仿宋_GB2312" w:eastAsia="仿宋_GB2312"/>
          <w:b/>
          <w:bCs/>
          <w:color w:val="auto"/>
          <w:sz w:val="28"/>
          <w:szCs w:val="28"/>
          <w:lang w:eastAsia="zh-CN"/>
        </w:rPr>
      </w:pPr>
      <w:r>
        <w:rPr>
          <w:rFonts w:hint="eastAsia" w:ascii="仿宋_GB2312" w:eastAsia="仿宋_GB2312"/>
          <w:b/>
          <w:bCs/>
          <w:color w:val="auto"/>
          <w:sz w:val="28"/>
          <w:szCs w:val="28"/>
          <w:lang w:eastAsia="zh-CN"/>
        </w:rPr>
        <w:t>（</w:t>
      </w:r>
      <w:r>
        <w:rPr>
          <w:rFonts w:hint="eastAsia" w:ascii="仿宋_GB2312" w:eastAsia="仿宋_GB2312"/>
          <w:b/>
          <w:bCs/>
          <w:color w:val="auto"/>
          <w:sz w:val="28"/>
          <w:szCs w:val="28"/>
          <w:lang w:val="en-US" w:eastAsia="zh-CN"/>
        </w:rPr>
        <w:t xml:space="preserve">                </w:t>
      </w:r>
      <w:r>
        <w:rPr>
          <w:rFonts w:hint="eastAsia" w:ascii="仿宋_GB2312" w:eastAsia="仿宋_GB2312"/>
          <w:b/>
          <w:bCs/>
          <w:color w:val="auto"/>
          <w:sz w:val="28"/>
          <w:szCs w:val="28"/>
          <w:lang w:eastAsia="zh-CN"/>
        </w:rPr>
        <w:t>）学年</w:t>
      </w:r>
    </w:p>
    <w:p w14:paraId="117F385C">
      <w:pPr>
        <w:ind w:left="-155" w:leftChars="-100" w:hanging="55" w:hangingChars="23"/>
        <w:jc w:val="center"/>
        <w:rPr>
          <w:rFonts w:hint="eastAsia" w:ascii="宋体" w:hAnsi="宋体"/>
          <w:b/>
          <w:bCs/>
          <w:color w:val="auto"/>
          <w:sz w:val="24"/>
        </w:rPr>
      </w:pPr>
      <w:r>
        <w:rPr>
          <w:rFonts w:hint="eastAsia" w:ascii="宋体" w:hAnsi="宋体"/>
          <w:b/>
          <w:bCs/>
          <w:color w:val="auto"/>
          <w:sz w:val="24"/>
          <w:lang w:eastAsia="zh-CN"/>
        </w:rPr>
        <w:t>推荐</w:t>
      </w:r>
      <w:r>
        <w:rPr>
          <w:rFonts w:hint="eastAsia" w:ascii="宋体" w:hAnsi="宋体"/>
          <w:b/>
          <w:bCs/>
          <w:color w:val="auto"/>
          <w:sz w:val="24"/>
        </w:rPr>
        <w:t>单位（盖章）</w:t>
      </w:r>
      <w:r>
        <w:rPr>
          <w:rFonts w:hint="eastAsia" w:ascii="宋体" w:hAnsi="宋体"/>
          <w:b/>
          <w:bCs/>
          <w:color w:val="auto"/>
          <w:sz w:val="24"/>
          <w:u w:val="single"/>
        </w:rPr>
        <w:t xml:space="preserve">：             </w:t>
      </w:r>
      <w:r>
        <w:rPr>
          <w:rFonts w:hint="eastAsia" w:ascii="宋体" w:hAnsi="宋体"/>
          <w:b/>
          <w:bCs/>
          <w:color w:val="auto"/>
          <w:sz w:val="24"/>
          <w:u w:val="none"/>
        </w:rPr>
        <w:t xml:space="preserve">   </w:t>
      </w:r>
      <w:r>
        <w:rPr>
          <w:rFonts w:hint="eastAsia" w:ascii="宋体" w:hAnsi="宋体"/>
          <w:b/>
          <w:bCs/>
          <w:color w:val="auto"/>
          <w:sz w:val="24"/>
          <w:u w:val="none"/>
          <w:lang w:val="en-US" w:eastAsia="zh-CN"/>
        </w:rPr>
        <w:t xml:space="preserve">  </w:t>
      </w:r>
      <w:r>
        <w:rPr>
          <w:rFonts w:hint="eastAsia" w:ascii="宋体" w:hAnsi="宋体"/>
          <w:b/>
          <w:bCs/>
          <w:color w:val="auto"/>
          <w:sz w:val="24"/>
          <w:lang w:eastAsia="zh-CN"/>
        </w:rPr>
        <w:t>推荐</w:t>
      </w:r>
      <w:r>
        <w:rPr>
          <w:rFonts w:hint="eastAsia" w:ascii="宋体" w:hAnsi="宋体"/>
          <w:b/>
          <w:bCs/>
          <w:color w:val="auto"/>
          <w:sz w:val="24"/>
        </w:rPr>
        <w:t>日期</w:t>
      </w:r>
      <w:r>
        <w:rPr>
          <w:rFonts w:hint="eastAsia" w:ascii="宋体" w:hAnsi="宋体"/>
          <w:b/>
          <w:bCs/>
          <w:color w:val="auto"/>
          <w:sz w:val="24"/>
          <w:u w:val="single"/>
        </w:rPr>
        <w:t xml:space="preserve">：  </w:t>
      </w:r>
      <w:r>
        <w:rPr>
          <w:rFonts w:hint="eastAsia" w:ascii="宋体" w:hAnsi="宋体"/>
          <w:b/>
          <w:bCs/>
          <w:color w:val="auto"/>
          <w:sz w:val="24"/>
          <w:u w:val="single"/>
          <w:lang w:val="en-US" w:eastAsia="zh-CN"/>
        </w:rPr>
        <w:t xml:space="preserve">   </w:t>
      </w:r>
      <w:r>
        <w:rPr>
          <w:rFonts w:hint="eastAsia" w:ascii="宋体" w:hAnsi="宋体"/>
          <w:b/>
          <w:bCs/>
          <w:color w:val="auto"/>
          <w:sz w:val="24"/>
          <w:u w:val="single"/>
        </w:rPr>
        <w:t xml:space="preserve"> </w:t>
      </w:r>
      <w:r>
        <w:rPr>
          <w:rFonts w:hint="eastAsia" w:ascii="宋体" w:hAnsi="宋体"/>
          <w:b/>
          <w:bCs/>
          <w:color w:val="auto"/>
          <w:sz w:val="24"/>
          <w:u w:val="single"/>
          <w:lang w:val="en-US" w:eastAsia="zh-CN"/>
        </w:rPr>
        <w:t xml:space="preserve"> </w:t>
      </w:r>
      <w:r>
        <w:rPr>
          <w:rFonts w:hint="eastAsia" w:ascii="宋体" w:hAnsi="宋体"/>
          <w:b/>
          <w:bCs/>
          <w:color w:val="auto"/>
          <w:sz w:val="24"/>
        </w:rPr>
        <w:t>年</w:t>
      </w:r>
      <w:r>
        <w:rPr>
          <w:rFonts w:hint="eastAsia" w:ascii="宋体" w:hAnsi="宋体"/>
          <w:b/>
          <w:bCs/>
          <w:color w:val="auto"/>
          <w:sz w:val="24"/>
          <w:u w:val="single"/>
        </w:rPr>
        <w:t xml:space="preserve">  </w:t>
      </w:r>
      <w:r>
        <w:rPr>
          <w:rFonts w:hint="eastAsia" w:ascii="宋体" w:hAnsi="宋体"/>
          <w:b/>
          <w:bCs/>
          <w:color w:val="auto"/>
          <w:sz w:val="24"/>
          <w:u w:val="single"/>
          <w:lang w:val="en-US" w:eastAsia="zh-CN"/>
        </w:rPr>
        <w:t xml:space="preserve"> </w:t>
      </w:r>
      <w:r>
        <w:rPr>
          <w:rFonts w:hint="eastAsia" w:ascii="宋体" w:hAnsi="宋体"/>
          <w:b/>
          <w:bCs/>
          <w:color w:val="auto"/>
          <w:sz w:val="24"/>
          <w:u w:val="single"/>
        </w:rPr>
        <w:t xml:space="preserve"> </w:t>
      </w:r>
      <w:r>
        <w:rPr>
          <w:rFonts w:hint="eastAsia" w:ascii="宋体" w:hAnsi="宋体"/>
          <w:b/>
          <w:bCs/>
          <w:color w:val="auto"/>
          <w:sz w:val="24"/>
        </w:rPr>
        <w:t>月</w:t>
      </w:r>
      <w:r>
        <w:rPr>
          <w:rFonts w:hint="eastAsia" w:ascii="宋体" w:hAnsi="宋体"/>
          <w:b/>
          <w:bCs/>
          <w:color w:val="auto"/>
          <w:sz w:val="24"/>
          <w:u w:val="single"/>
        </w:rPr>
        <w:t xml:space="preserve"> </w:t>
      </w:r>
      <w:r>
        <w:rPr>
          <w:rFonts w:hint="eastAsia" w:ascii="宋体" w:hAnsi="宋体"/>
          <w:b/>
          <w:bCs/>
          <w:color w:val="auto"/>
          <w:sz w:val="24"/>
          <w:u w:val="single"/>
          <w:lang w:val="en-US" w:eastAsia="zh-CN"/>
        </w:rPr>
        <w:t xml:space="preserve">  </w:t>
      </w:r>
      <w:r>
        <w:rPr>
          <w:rFonts w:hint="eastAsia" w:ascii="宋体" w:hAnsi="宋体"/>
          <w:b/>
          <w:bCs/>
          <w:color w:val="auto"/>
          <w:sz w:val="24"/>
          <w:u w:val="single"/>
        </w:rPr>
        <w:t xml:space="preserve">  </w:t>
      </w:r>
      <w:r>
        <w:rPr>
          <w:rFonts w:hint="eastAsia" w:ascii="宋体" w:hAnsi="宋体"/>
          <w:b/>
          <w:bCs/>
          <w:color w:val="auto"/>
          <w:sz w:val="24"/>
        </w:rPr>
        <w:t>日</w:t>
      </w:r>
    </w:p>
    <w:p w14:paraId="0B3CEB6A">
      <w:pPr>
        <w:ind w:left="-155" w:leftChars="-100" w:hanging="55" w:hangingChars="23"/>
        <w:jc w:val="center"/>
        <w:rPr>
          <w:rFonts w:hint="eastAsia" w:ascii="宋体" w:hAnsi="宋体"/>
          <w:color w:val="auto"/>
          <w:sz w:val="24"/>
        </w:rPr>
      </w:pPr>
    </w:p>
    <w:tbl>
      <w:tblPr>
        <w:tblStyle w:val="1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080"/>
        <w:gridCol w:w="755"/>
        <w:gridCol w:w="775"/>
        <w:gridCol w:w="1080"/>
        <w:gridCol w:w="825"/>
        <w:gridCol w:w="1155"/>
        <w:gridCol w:w="1581"/>
      </w:tblGrid>
      <w:tr w14:paraId="1C01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97" w:type="dxa"/>
            <w:vMerge w:val="restart"/>
            <w:noWrap w:val="0"/>
            <w:vAlign w:val="center"/>
          </w:tcPr>
          <w:p w14:paraId="7356D261">
            <w:pPr>
              <w:widowControl w:val="0"/>
              <w:snapToGrid w:val="0"/>
              <w:jc w:val="center"/>
              <w:rPr>
                <w:rFonts w:hint="eastAsia" w:ascii="宋体" w:hAnsi="宋体"/>
                <w:b/>
                <w:snapToGrid w:val="0"/>
                <w:color w:val="auto"/>
                <w:kern w:val="0"/>
                <w:sz w:val="24"/>
                <w:lang w:eastAsia="zh-CN"/>
              </w:rPr>
            </w:pPr>
            <w:r>
              <w:rPr>
                <w:rFonts w:hint="eastAsia" w:ascii="宋体" w:hAnsi="宋体"/>
                <w:b/>
                <w:snapToGrid w:val="0"/>
                <w:color w:val="auto"/>
                <w:kern w:val="0"/>
                <w:sz w:val="24"/>
                <w:lang w:eastAsia="zh-CN"/>
              </w:rPr>
              <w:t>姓名</w:t>
            </w:r>
          </w:p>
        </w:tc>
        <w:tc>
          <w:tcPr>
            <w:tcW w:w="1080" w:type="dxa"/>
            <w:vMerge w:val="restart"/>
            <w:noWrap w:val="0"/>
            <w:vAlign w:val="center"/>
          </w:tcPr>
          <w:p w14:paraId="71666CFB">
            <w:pPr>
              <w:widowControl w:val="0"/>
              <w:jc w:val="center"/>
              <w:rPr>
                <w:rFonts w:hint="eastAsia" w:ascii="仿宋_GB2312" w:eastAsia="仿宋_GB2312"/>
                <w:color w:val="auto"/>
                <w:sz w:val="24"/>
              </w:rPr>
            </w:pPr>
          </w:p>
        </w:tc>
        <w:tc>
          <w:tcPr>
            <w:tcW w:w="755" w:type="dxa"/>
            <w:vMerge w:val="restart"/>
            <w:noWrap w:val="0"/>
            <w:vAlign w:val="center"/>
          </w:tcPr>
          <w:p w14:paraId="06874DF5">
            <w:pPr>
              <w:widowControl w:val="0"/>
              <w:jc w:val="center"/>
              <w:rPr>
                <w:rFonts w:hint="eastAsia" w:ascii="仿宋_GB2312" w:eastAsia="仿宋_GB2312"/>
                <w:b/>
                <w:bCs/>
                <w:color w:val="auto"/>
                <w:sz w:val="24"/>
              </w:rPr>
            </w:pPr>
            <w:r>
              <w:rPr>
                <w:rFonts w:hint="eastAsia" w:ascii="仿宋_GB2312" w:eastAsia="仿宋_GB2312"/>
                <w:b/>
                <w:bCs/>
                <w:color w:val="auto"/>
                <w:sz w:val="24"/>
              </w:rPr>
              <w:t>性</w:t>
            </w:r>
          </w:p>
          <w:p w14:paraId="57D7A0A6">
            <w:pPr>
              <w:widowControl w:val="0"/>
              <w:jc w:val="center"/>
              <w:rPr>
                <w:rFonts w:hint="eastAsia" w:ascii="仿宋_GB2312" w:eastAsia="仿宋_GB2312"/>
                <w:color w:val="auto"/>
                <w:sz w:val="24"/>
              </w:rPr>
            </w:pPr>
            <w:r>
              <w:rPr>
                <w:rFonts w:hint="eastAsia" w:ascii="仿宋_GB2312" w:eastAsia="仿宋_GB2312"/>
                <w:b/>
                <w:bCs/>
                <w:color w:val="auto"/>
                <w:sz w:val="24"/>
              </w:rPr>
              <w:t>别</w:t>
            </w:r>
          </w:p>
        </w:tc>
        <w:tc>
          <w:tcPr>
            <w:tcW w:w="775" w:type="dxa"/>
            <w:vMerge w:val="restart"/>
            <w:noWrap w:val="0"/>
            <w:vAlign w:val="center"/>
          </w:tcPr>
          <w:p w14:paraId="49179419">
            <w:pPr>
              <w:widowControl w:val="0"/>
              <w:jc w:val="center"/>
              <w:rPr>
                <w:rFonts w:hint="eastAsia" w:ascii="仿宋_GB2312" w:eastAsia="仿宋_GB2312"/>
                <w:color w:val="auto"/>
                <w:sz w:val="24"/>
              </w:rPr>
            </w:pPr>
          </w:p>
        </w:tc>
        <w:tc>
          <w:tcPr>
            <w:tcW w:w="1080" w:type="dxa"/>
            <w:vMerge w:val="restart"/>
            <w:noWrap w:val="0"/>
            <w:vAlign w:val="center"/>
          </w:tcPr>
          <w:p w14:paraId="4EC66656">
            <w:pPr>
              <w:widowControl w:val="0"/>
              <w:jc w:val="center"/>
              <w:rPr>
                <w:rFonts w:hint="eastAsia" w:ascii="仿宋_GB2312" w:eastAsia="仿宋_GB2312"/>
                <w:b/>
                <w:bCs/>
                <w:color w:val="auto"/>
                <w:sz w:val="24"/>
              </w:rPr>
            </w:pPr>
            <w:r>
              <w:rPr>
                <w:rFonts w:hint="eastAsia" w:ascii="仿宋_GB2312" w:eastAsia="仿宋_GB2312"/>
                <w:b/>
                <w:bCs/>
                <w:color w:val="auto"/>
                <w:sz w:val="24"/>
              </w:rPr>
              <w:t>出生</w:t>
            </w:r>
          </w:p>
          <w:p w14:paraId="4724D8FD">
            <w:pPr>
              <w:widowControl w:val="0"/>
              <w:jc w:val="center"/>
              <w:rPr>
                <w:rFonts w:hint="eastAsia" w:ascii="仿宋_GB2312" w:eastAsia="仿宋_GB2312"/>
                <w:color w:val="auto"/>
                <w:sz w:val="24"/>
              </w:rPr>
            </w:pPr>
            <w:r>
              <w:rPr>
                <w:rFonts w:hint="eastAsia" w:ascii="仿宋_GB2312" w:eastAsia="仿宋_GB2312"/>
                <w:b/>
                <w:bCs/>
                <w:color w:val="auto"/>
                <w:sz w:val="24"/>
              </w:rPr>
              <w:t>年月</w:t>
            </w:r>
          </w:p>
        </w:tc>
        <w:tc>
          <w:tcPr>
            <w:tcW w:w="825" w:type="dxa"/>
            <w:vMerge w:val="restart"/>
            <w:noWrap w:val="0"/>
            <w:vAlign w:val="center"/>
          </w:tcPr>
          <w:p w14:paraId="203AA390">
            <w:pPr>
              <w:widowControl w:val="0"/>
              <w:jc w:val="center"/>
              <w:rPr>
                <w:rFonts w:hint="eastAsia" w:ascii="仿宋_GB2312" w:eastAsia="仿宋_GB2312"/>
                <w:color w:val="auto"/>
                <w:sz w:val="24"/>
              </w:rPr>
            </w:pPr>
          </w:p>
        </w:tc>
        <w:tc>
          <w:tcPr>
            <w:tcW w:w="1155" w:type="dxa"/>
            <w:noWrap w:val="0"/>
            <w:vAlign w:val="center"/>
          </w:tcPr>
          <w:p w14:paraId="6DB2876B">
            <w:pPr>
              <w:widowControl w:val="0"/>
              <w:jc w:val="center"/>
              <w:rPr>
                <w:rFonts w:hint="eastAsia" w:ascii="仿宋_GB2312" w:eastAsia="仿宋_GB2312"/>
                <w:b/>
                <w:bCs/>
                <w:color w:val="auto"/>
                <w:sz w:val="24"/>
                <w:lang w:eastAsia="zh-CN"/>
              </w:rPr>
            </w:pPr>
            <w:r>
              <w:rPr>
                <w:rFonts w:hint="eastAsia" w:ascii="仿宋_GB2312" w:eastAsia="仿宋_GB2312"/>
                <w:b/>
                <w:bCs/>
                <w:color w:val="auto"/>
                <w:sz w:val="24"/>
                <w:lang w:eastAsia="zh-CN"/>
              </w:rPr>
              <w:t>学历</w:t>
            </w:r>
          </w:p>
        </w:tc>
        <w:tc>
          <w:tcPr>
            <w:tcW w:w="1581" w:type="dxa"/>
            <w:noWrap w:val="0"/>
            <w:vAlign w:val="center"/>
          </w:tcPr>
          <w:p w14:paraId="744DD330">
            <w:pPr>
              <w:widowControl w:val="0"/>
              <w:jc w:val="center"/>
              <w:rPr>
                <w:rFonts w:hint="eastAsia" w:ascii="仿宋_GB2312" w:eastAsia="仿宋_GB2312"/>
                <w:b/>
                <w:bCs/>
                <w:color w:val="auto"/>
                <w:sz w:val="24"/>
              </w:rPr>
            </w:pPr>
          </w:p>
        </w:tc>
      </w:tr>
      <w:tr w14:paraId="0E52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97" w:type="dxa"/>
            <w:vMerge w:val="continue"/>
            <w:noWrap w:val="0"/>
            <w:vAlign w:val="center"/>
          </w:tcPr>
          <w:p w14:paraId="6135E167">
            <w:pPr>
              <w:widowControl w:val="0"/>
              <w:jc w:val="center"/>
              <w:rPr>
                <w:color w:val="auto"/>
              </w:rPr>
            </w:pPr>
          </w:p>
        </w:tc>
        <w:tc>
          <w:tcPr>
            <w:tcW w:w="1080" w:type="dxa"/>
            <w:vMerge w:val="continue"/>
            <w:noWrap w:val="0"/>
            <w:vAlign w:val="center"/>
          </w:tcPr>
          <w:p w14:paraId="7877729A">
            <w:pPr>
              <w:widowControl w:val="0"/>
              <w:jc w:val="center"/>
              <w:rPr>
                <w:color w:val="auto"/>
              </w:rPr>
            </w:pPr>
          </w:p>
        </w:tc>
        <w:tc>
          <w:tcPr>
            <w:tcW w:w="755" w:type="dxa"/>
            <w:vMerge w:val="continue"/>
            <w:noWrap w:val="0"/>
            <w:vAlign w:val="center"/>
          </w:tcPr>
          <w:p w14:paraId="0926D201">
            <w:pPr>
              <w:widowControl w:val="0"/>
              <w:jc w:val="center"/>
              <w:rPr>
                <w:color w:val="auto"/>
              </w:rPr>
            </w:pPr>
          </w:p>
        </w:tc>
        <w:tc>
          <w:tcPr>
            <w:tcW w:w="775" w:type="dxa"/>
            <w:vMerge w:val="continue"/>
            <w:noWrap w:val="0"/>
            <w:vAlign w:val="center"/>
          </w:tcPr>
          <w:p w14:paraId="5BD7710D">
            <w:pPr>
              <w:widowControl w:val="0"/>
              <w:jc w:val="center"/>
              <w:rPr>
                <w:color w:val="auto"/>
              </w:rPr>
            </w:pPr>
          </w:p>
        </w:tc>
        <w:tc>
          <w:tcPr>
            <w:tcW w:w="1080" w:type="dxa"/>
            <w:vMerge w:val="continue"/>
            <w:noWrap w:val="0"/>
            <w:vAlign w:val="center"/>
          </w:tcPr>
          <w:p w14:paraId="3D7B4FBE">
            <w:pPr>
              <w:widowControl w:val="0"/>
              <w:jc w:val="center"/>
              <w:rPr>
                <w:color w:val="auto"/>
              </w:rPr>
            </w:pPr>
          </w:p>
        </w:tc>
        <w:tc>
          <w:tcPr>
            <w:tcW w:w="825" w:type="dxa"/>
            <w:vMerge w:val="continue"/>
            <w:noWrap w:val="0"/>
            <w:vAlign w:val="center"/>
          </w:tcPr>
          <w:p w14:paraId="067D28E9">
            <w:pPr>
              <w:widowControl w:val="0"/>
              <w:jc w:val="center"/>
              <w:rPr>
                <w:color w:val="auto"/>
              </w:rPr>
            </w:pPr>
          </w:p>
        </w:tc>
        <w:tc>
          <w:tcPr>
            <w:tcW w:w="1155" w:type="dxa"/>
            <w:noWrap w:val="0"/>
            <w:vAlign w:val="center"/>
          </w:tcPr>
          <w:p w14:paraId="5FCBD0D3">
            <w:pPr>
              <w:widowControl w:val="0"/>
              <w:jc w:val="center"/>
              <w:rPr>
                <w:rFonts w:hint="eastAsia" w:ascii="仿宋_GB2312" w:eastAsia="仿宋_GB2312"/>
                <w:b/>
                <w:bCs/>
                <w:color w:val="auto"/>
                <w:sz w:val="24"/>
              </w:rPr>
            </w:pPr>
            <w:r>
              <w:rPr>
                <w:rFonts w:hint="eastAsia" w:ascii="仿宋_GB2312" w:eastAsia="仿宋_GB2312"/>
                <w:b/>
                <w:bCs/>
                <w:color w:val="auto"/>
                <w:sz w:val="24"/>
              </w:rPr>
              <w:t>职称</w:t>
            </w:r>
          </w:p>
        </w:tc>
        <w:tc>
          <w:tcPr>
            <w:tcW w:w="1581" w:type="dxa"/>
            <w:noWrap w:val="0"/>
            <w:vAlign w:val="center"/>
          </w:tcPr>
          <w:p w14:paraId="2D68A990">
            <w:pPr>
              <w:widowControl w:val="0"/>
              <w:jc w:val="center"/>
              <w:rPr>
                <w:rFonts w:hint="eastAsia" w:ascii="仿宋_GB2312" w:eastAsia="仿宋_GB2312"/>
                <w:b/>
                <w:bCs/>
                <w:color w:val="auto"/>
                <w:sz w:val="24"/>
              </w:rPr>
            </w:pPr>
          </w:p>
        </w:tc>
      </w:tr>
      <w:tr w14:paraId="41F9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1497" w:type="dxa"/>
            <w:noWrap w:val="0"/>
            <w:vAlign w:val="center"/>
          </w:tcPr>
          <w:p w14:paraId="4AB580B2">
            <w:pPr>
              <w:widowControl w:val="0"/>
              <w:snapToGrid w:val="0"/>
              <w:jc w:val="center"/>
              <w:rPr>
                <w:rFonts w:hint="eastAsia" w:ascii="宋体" w:hAnsi="宋体"/>
                <w:b/>
                <w:snapToGrid w:val="0"/>
                <w:color w:val="auto"/>
                <w:kern w:val="0"/>
                <w:sz w:val="24"/>
                <w:lang w:val="en-US" w:eastAsia="zh-CN"/>
              </w:rPr>
            </w:pPr>
            <w:r>
              <w:rPr>
                <w:rFonts w:hint="eastAsia" w:ascii="宋体" w:hAnsi="宋体"/>
                <w:b/>
                <w:snapToGrid w:val="0"/>
                <w:color w:val="auto"/>
                <w:kern w:val="0"/>
                <w:sz w:val="24"/>
                <w:lang w:val="en-US" w:eastAsia="zh-CN"/>
              </w:rPr>
              <w:t>师德师风</w:t>
            </w:r>
          </w:p>
          <w:p w14:paraId="303CD34D">
            <w:pPr>
              <w:widowControl w:val="0"/>
              <w:snapToGrid w:val="0"/>
              <w:jc w:val="center"/>
              <w:rPr>
                <w:rFonts w:hint="eastAsia" w:ascii="宋体" w:hAnsi="宋体"/>
                <w:b/>
                <w:snapToGrid w:val="0"/>
                <w:color w:val="auto"/>
                <w:kern w:val="0"/>
                <w:sz w:val="24"/>
                <w:lang w:eastAsia="zh-CN"/>
              </w:rPr>
            </w:pPr>
            <w:r>
              <w:rPr>
                <w:rFonts w:hint="eastAsia" w:ascii="宋体" w:hAnsi="宋体"/>
                <w:b/>
                <w:snapToGrid w:val="0"/>
                <w:color w:val="auto"/>
                <w:kern w:val="0"/>
                <w:sz w:val="24"/>
                <w:lang w:val="en-US" w:eastAsia="zh-CN"/>
              </w:rPr>
              <w:t>简介及评分</w:t>
            </w:r>
          </w:p>
        </w:tc>
        <w:tc>
          <w:tcPr>
            <w:tcW w:w="7251" w:type="dxa"/>
            <w:gridSpan w:val="7"/>
            <w:noWrap w:val="0"/>
            <w:vAlign w:val="center"/>
          </w:tcPr>
          <w:p w14:paraId="4787A12D">
            <w:pPr>
              <w:widowControl w:val="0"/>
              <w:jc w:val="center"/>
              <w:rPr>
                <w:rFonts w:hint="eastAsia" w:ascii="仿宋_GB2312" w:eastAsia="仿宋_GB2312"/>
                <w:color w:val="auto"/>
                <w:sz w:val="24"/>
              </w:rPr>
            </w:pPr>
          </w:p>
        </w:tc>
      </w:tr>
      <w:tr w14:paraId="556D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497" w:type="dxa"/>
            <w:noWrap w:val="0"/>
            <w:vAlign w:val="center"/>
          </w:tcPr>
          <w:p w14:paraId="00621197">
            <w:pPr>
              <w:widowControl w:val="0"/>
              <w:snapToGrid w:val="0"/>
              <w:jc w:val="center"/>
              <w:rPr>
                <w:rFonts w:hint="eastAsia" w:ascii="宋体" w:hAnsi="宋体"/>
                <w:b/>
                <w:snapToGrid w:val="0"/>
                <w:color w:val="auto"/>
                <w:kern w:val="0"/>
                <w:sz w:val="24"/>
                <w:lang w:val="en-US" w:eastAsia="zh-CN"/>
              </w:rPr>
            </w:pPr>
            <w:r>
              <w:rPr>
                <w:rFonts w:hint="eastAsia" w:ascii="宋体" w:hAnsi="宋体"/>
                <w:b/>
                <w:snapToGrid w:val="0"/>
                <w:color w:val="auto"/>
                <w:kern w:val="0"/>
                <w:sz w:val="24"/>
              </w:rPr>
              <w:t>课程教学质量简介及评教得分</w:t>
            </w:r>
          </w:p>
        </w:tc>
        <w:tc>
          <w:tcPr>
            <w:tcW w:w="7251" w:type="dxa"/>
            <w:gridSpan w:val="7"/>
            <w:noWrap w:val="0"/>
            <w:vAlign w:val="center"/>
          </w:tcPr>
          <w:p w14:paraId="368A7CAB">
            <w:pPr>
              <w:widowControl w:val="0"/>
              <w:jc w:val="center"/>
              <w:rPr>
                <w:rFonts w:hint="eastAsia" w:ascii="仿宋_GB2312" w:eastAsia="仿宋_GB2312"/>
                <w:color w:val="auto"/>
                <w:sz w:val="24"/>
              </w:rPr>
            </w:pPr>
          </w:p>
        </w:tc>
      </w:tr>
      <w:tr w14:paraId="51F5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1497" w:type="dxa"/>
            <w:noWrap w:val="0"/>
            <w:vAlign w:val="center"/>
          </w:tcPr>
          <w:p w14:paraId="79A44017">
            <w:pPr>
              <w:widowControl w:val="0"/>
              <w:snapToGrid w:val="0"/>
              <w:jc w:val="center"/>
              <w:rPr>
                <w:rFonts w:hint="eastAsia" w:ascii="宋体" w:hAnsi="宋体"/>
                <w:b/>
                <w:snapToGrid w:val="0"/>
                <w:color w:val="auto"/>
                <w:kern w:val="0"/>
                <w:sz w:val="24"/>
                <w:lang w:eastAsia="zh-CN"/>
              </w:rPr>
            </w:pPr>
            <w:r>
              <w:rPr>
                <w:rFonts w:hint="eastAsia" w:ascii="宋体" w:hAnsi="宋体"/>
                <w:b/>
                <w:snapToGrid w:val="0"/>
                <w:color w:val="auto"/>
                <w:kern w:val="0"/>
                <w:sz w:val="24"/>
              </w:rPr>
              <w:t>教学工作量、教学业绩简介及得分</w:t>
            </w:r>
            <w:r>
              <w:rPr>
                <w:rFonts w:hint="eastAsia" w:ascii="宋体" w:hAnsi="宋体"/>
                <w:b/>
                <w:snapToGrid w:val="0"/>
                <w:color w:val="auto"/>
                <w:kern w:val="0"/>
                <w:sz w:val="24"/>
                <w:lang w:eastAsia="zh-CN"/>
              </w:rPr>
              <w:t>（可附页）</w:t>
            </w:r>
          </w:p>
        </w:tc>
        <w:tc>
          <w:tcPr>
            <w:tcW w:w="7251" w:type="dxa"/>
            <w:gridSpan w:val="7"/>
            <w:noWrap w:val="0"/>
            <w:vAlign w:val="center"/>
          </w:tcPr>
          <w:p w14:paraId="5D3E19FF">
            <w:pPr>
              <w:widowControl w:val="0"/>
              <w:jc w:val="center"/>
              <w:rPr>
                <w:rFonts w:hint="eastAsia" w:ascii="仿宋_GB2312" w:eastAsia="仿宋_GB2312"/>
                <w:color w:val="auto"/>
                <w:sz w:val="24"/>
              </w:rPr>
            </w:pPr>
          </w:p>
          <w:p w14:paraId="60779DF9">
            <w:pPr>
              <w:widowControl w:val="0"/>
              <w:jc w:val="center"/>
              <w:rPr>
                <w:rFonts w:hint="eastAsia" w:ascii="仿宋_GB2312" w:eastAsia="仿宋_GB2312"/>
                <w:color w:val="auto"/>
                <w:sz w:val="24"/>
              </w:rPr>
            </w:pPr>
          </w:p>
          <w:p w14:paraId="1C07739F">
            <w:pPr>
              <w:widowControl w:val="0"/>
              <w:jc w:val="center"/>
              <w:rPr>
                <w:rFonts w:hint="eastAsia" w:ascii="仿宋_GB2312" w:eastAsia="仿宋_GB2312"/>
                <w:color w:val="auto"/>
                <w:sz w:val="24"/>
              </w:rPr>
            </w:pPr>
          </w:p>
          <w:p w14:paraId="6CD3261A">
            <w:pPr>
              <w:widowControl w:val="0"/>
              <w:jc w:val="center"/>
              <w:rPr>
                <w:rFonts w:hint="eastAsia" w:ascii="仿宋_GB2312" w:eastAsia="仿宋_GB2312"/>
                <w:color w:val="auto"/>
                <w:sz w:val="24"/>
              </w:rPr>
            </w:pPr>
          </w:p>
          <w:p w14:paraId="5D575ED5">
            <w:pPr>
              <w:widowControl w:val="0"/>
              <w:jc w:val="center"/>
              <w:rPr>
                <w:rFonts w:hint="eastAsia" w:ascii="仿宋_GB2312" w:eastAsia="仿宋_GB2312"/>
                <w:color w:val="auto"/>
                <w:sz w:val="24"/>
              </w:rPr>
            </w:pPr>
          </w:p>
          <w:p w14:paraId="53CC9F81">
            <w:pPr>
              <w:widowControl w:val="0"/>
              <w:jc w:val="center"/>
              <w:rPr>
                <w:rFonts w:hint="eastAsia" w:ascii="仿宋_GB2312" w:eastAsia="仿宋_GB2312"/>
                <w:color w:val="auto"/>
                <w:sz w:val="24"/>
              </w:rPr>
            </w:pPr>
          </w:p>
        </w:tc>
      </w:tr>
      <w:tr w14:paraId="5A60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1497" w:type="dxa"/>
            <w:noWrap w:val="0"/>
            <w:vAlign w:val="center"/>
          </w:tcPr>
          <w:p w14:paraId="6F82DBFD">
            <w:pPr>
              <w:widowControl w:val="0"/>
              <w:snapToGrid w:val="0"/>
              <w:jc w:val="center"/>
              <w:rPr>
                <w:rFonts w:hint="eastAsia" w:ascii="宋体" w:hAnsi="宋体"/>
                <w:b/>
                <w:snapToGrid w:val="0"/>
                <w:color w:val="auto"/>
                <w:kern w:val="0"/>
                <w:sz w:val="24"/>
                <w:lang w:eastAsia="zh-CN"/>
              </w:rPr>
            </w:pPr>
            <w:r>
              <w:rPr>
                <w:rFonts w:hint="eastAsia" w:ascii="宋体" w:hAnsi="宋体"/>
                <w:b/>
                <w:snapToGrid w:val="0"/>
                <w:color w:val="auto"/>
                <w:kern w:val="0"/>
                <w:sz w:val="24"/>
                <w:lang w:eastAsia="zh-CN"/>
              </w:rPr>
              <w:t>院</w:t>
            </w:r>
          </w:p>
          <w:p w14:paraId="459C4D18">
            <w:pPr>
              <w:widowControl w:val="0"/>
              <w:snapToGrid w:val="0"/>
              <w:jc w:val="center"/>
              <w:rPr>
                <w:rFonts w:hint="eastAsia" w:ascii="宋体" w:hAnsi="宋体"/>
                <w:b/>
                <w:snapToGrid w:val="0"/>
                <w:color w:val="auto"/>
                <w:kern w:val="0"/>
                <w:sz w:val="24"/>
                <w:lang w:eastAsia="zh-CN"/>
              </w:rPr>
            </w:pPr>
            <w:r>
              <w:rPr>
                <w:rFonts w:hint="eastAsia" w:ascii="宋体" w:hAnsi="宋体"/>
                <w:b/>
                <w:snapToGrid w:val="0"/>
                <w:color w:val="auto"/>
                <w:kern w:val="0"/>
                <w:sz w:val="24"/>
                <w:lang w:eastAsia="zh-CN"/>
              </w:rPr>
              <w:t>（部）</w:t>
            </w:r>
          </w:p>
          <w:p w14:paraId="64EE54C3">
            <w:pPr>
              <w:widowControl w:val="0"/>
              <w:snapToGrid w:val="0"/>
              <w:jc w:val="center"/>
              <w:rPr>
                <w:rFonts w:hint="eastAsia" w:ascii="宋体" w:hAnsi="宋体"/>
                <w:b/>
                <w:snapToGrid w:val="0"/>
                <w:color w:val="auto"/>
                <w:kern w:val="0"/>
                <w:sz w:val="24"/>
                <w:lang w:eastAsia="zh-CN"/>
              </w:rPr>
            </w:pPr>
            <w:r>
              <w:rPr>
                <w:rFonts w:hint="eastAsia" w:ascii="宋体" w:hAnsi="宋体"/>
                <w:b/>
                <w:snapToGrid w:val="0"/>
                <w:color w:val="auto"/>
                <w:kern w:val="0"/>
                <w:sz w:val="24"/>
                <w:lang w:eastAsia="zh-CN"/>
              </w:rPr>
              <w:t>意</w:t>
            </w:r>
          </w:p>
          <w:p w14:paraId="0B92FD7A">
            <w:pPr>
              <w:widowControl w:val="0"/>
              <w:snapToGrid w:val="0"/>
              <w:jc w:val="center"/>
              <w:rPr>
                <w:rFonts w:hint="eastAsia" w:ascii="宋体" w:hAnsi="宋体" w:eastAsia="宋体" w:cs="Times New Roman"/>
                <w:b/>
                <w:snapToGrid w:val="0"/>
                <w:color w:val="auto"/>
                <w:kern w:val="0"/>
                <w:sz w:val="24"/>
                <w:szCs w:val="24"/>
                <w:lang w:val="en-US" w:eastAsia="zh-CN" w:bidi="ar-SA"/>
              </w:rPr>
            </w:pPr>
            <w:r>
              <w:rPr>
                <w:rFonts w:hint="eastAsia" w:ascii="宋体" w:hAnsi="宋体"/>
                <w:b/>
                <w:snapToGrid w:val="0"/>
                <w:color w:val="auto"/>
                <w:kern w:val="0"/>
                <w:sz w:val="24"/>
                <w:lang w:eastAsia="zh-CN"/>
              </w:rPr>
              <w:t>见</w:t>
            </w:r>
          </w:p>
        </w:tc>
        <w:tc>
          <w:tcPr>
            <w:tcW w:w="7251" w:type="dxa"/>
            <w:gridSpan w:val="7"/>
            <w:noWrap w:val="0"/>
            <w:vAlign w:val="top"/>
          </w:tcPr>
          <w:p w14:paraId="2539AE34">
            <w:pPr>
              <w:widowControl w:val="0"/>
              <w:snapToGrid w:val="0"/>
              <w:ind w:firstLine="1920" w:firstLineChars="800"/>
              <w:rPr>
                <w:rFonts w:hint="eastAsia" w:ascii="宋体" w:hAnsi="宋体"/>
                <w:snapToGrid w:val="0"/>
                <w:color w:val="auto"/>
                <w:kern w:val="0"/>
                <w:sz w:val="24"/>
              </w:rPr>
            </w:pPr>
          </w:p>
          <w:p w14:paraId="7A2334A1">
            <w:pPr>
              <w:widowControl w:val="0"/>
              <w:snapToGrid w:val="0"/>
              <w:ind w:firstLine="1920" w:firstLineChars="800"/>
              <w:rPr>
                <w:rFonts w:hint="eastAsia" w:ascii="宋体" w:hAnsi="宋体"/>
                <w:snapToGrid w:val="0"/>
                <w:color w:val="auto"/>
                <w:kern w:val="0"/>
                <w:sz w:val="24"/>
              </w:rPr>
            </w:pPr>
          </w:p>
          <w:p w14:paraId="60E402FF">
            <w:pPr>
              <w:widowControl w:val="0"/>
              <w:snapToGrid w:val="0"/>
              <w:ind w:firstLine="1920" w:firstLineChars="800"/>
              <w:rPr>
                <w:rFonts w:hint="eastAsia" w:ascii="宋体" w:hAnsi="宋体"/>
                <w:snapToGrid w:val="0"/>
                <w:color w:val="auto"/>
                <w:kern w:val="0"/>
                <w:sz w:val="24"/>
              </w:rPr>
            </w:pPr>
          </w:p>
          <w:p w14:paraId="6C48668A">
            <w:pPr>
              <w:widowControl w:val="0"/>
              <w:ind w:right="480"/>
              <w:jc w:val="both"/>
              <w:rPr>
                <w:rFonts w:hint="eastAsia" w:ascii="宋体" w:hAnsi="宋体" w:eastAsia="宋体" w:cs="宋体"/>
                <w:color w:val="auto"/>
                <w:sz w:val="24"/>
                <w:lang w:val="en-US" w:eastAsia="zh-CN"/>
              </w:rPr>
            </w:pPr>
          </w:p>
          <w:p w14:paraId="766FF43C">
            <w:pPr>
              <w:widowControl w:val="0"/>
              <w:ind w:right="480" w:firstLine="2160" w:firstLineChars="900"/>
              <w:jc w:val="both"/>
              <w:rPr>
                <w:rFonts w:hint="eastAsia" w:ascii="宋体" w:hAnsi="宋体" w:eastAsia="宋体" w:cs="宋体"/>
                <w:color w:val="auto"/>
                <w:sz w:val="24"/>
              </w:rPr>
            </w:pPr>
            <w:r>
              <w:rPr>
                <w:rFonts w:hint="eastAsia" w:ascii="宋体" w:hAnsi="宋体" w:eastAsia="宋体" w:cs="宋体"/>
                <w:color w:val="auto"/>
                <w:sz w:val="24"/>
                <w:lang w:val="en-US" w:eastAsia="zh-CN"/>
              </w:rPr>
              <w:t>负责人</w:t>
            </w:r>
            <w:r>
              <w:rPr>
                <w:rFonts w:hint="eastAsia" w:ascii="宋体" w:hAnsi="宋体" w:eastAsia="宋体" w:cs="宋体"/>
                <w:color w:val="auto"/>
                <w:sz w:val="24"/>
              </w:rPr>
              <w:t>签名：</w:t>
            </w:r>
          </w:p>
          <w:p w14:paraId="3A767667">
            <w:pPr>
              <w:widowControl w:val="0"/>
              <w:tabs>
                <w:tab w:val="left" w:pos="5292"/>
              </w:tabs>
              <w:snapToGrid w:val="0"/>
              <w:ind w:firstLine="2400" w:firstLineChars="1000"/>
              <w:rPr>
                <w:rFonts w:hint="eastAsia" w:ascii="宋体" w:hAnsi="宋体" w:eastAsia="宋体" w:cs="宋体"/>
                <w:color w:val="auto"/>
                <w:sz w:val="24"/>
                <w:lang w:val="en-US" w:eastAsia="zh-CN"/>
              </w:rPr>
            </w:pPr>
            <w:r>
              <w:rPr>
                <w:rFonts w:hint="eastAsia" w:ascii="宋体" w:hAnsi="宋体" w:eastAsia="宋体" w:cs="宋体"/>
                <w:color w:val="auto"/>
                <w:sz w:val="24"/>
              </w:rPr>
              <w:t xml:space="preserve">签章：           </w:t>
            </w:r>
            <w:r>
              <w:rPr>
                <w:rFonts w:hint="eastAsia" w:ascii="宋体" w:hAnsi="宋体" w:eastAsia="宋体" w:cs="宋体"/>
                <w:color w:val="auto"/>
                <w:sz w:val="24"/>
                <w:lang w:val="en-US" w:eastAsia="zh-CN"/>
              </w:rPr>
              <w:t xml:space="preserve">     </w:t>
            </w:r>
          </w:p>
          <w:p w14:paraId="2185A645">
            <w:pPr>
              <w:widowControl w:val="0"/>
              <w:tabs>
                <w:tab w:val="left" w:pos="5292"/>
              </w:tabs>
              <w:snapToGrid w:val="0"/>
              <w:ind w:firstLine="5040" w:firstLineChars="2100"/>
              <w:rPr>
                <w:rFonts w:hint="eastAsia" w:ascii="宋体" w:hAnsi="宋体" w:eastAsia="宋体" w:cs="Times New Roman"/>
                <w:snapToGrid w:val="0"/>
                <w:color w:val="auto"/>
                <w:kern w:val="0"/>
                <w:sz w:val="24"/>
                <w:szCs w:val="24"/>
                <w:lang w:val="en-US" w:eastAsia="zh-CN" w:bidi="ar-SA"/>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年    月    日</w:t>
            </w:r>
          </w:p>
        </w:tc>
      </w:tr>
      <w:tr w14:paraId="6340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7" w:type="dxa"/>
            <w:noWrap w:val="0"/>
            <w:vAlign w:val="center"/>
          </w:tcPr>
          <w:p w14:paraId="13983C31">
            <w:pPr>
              <w:widowControl w:val="0"/>
              <w:snapToGrid w:val="0"/>
              <w:jc w:val="center"/>
              <w:rPr>
                <w:rFonts w:hint="eastAsia" w:ascii="宋体" w:hAnsi="宋体"/>
                <w:b/>
                <w:snapToGrid w:val="0"/>
                <w:color w:val="auto"/>
                <w:kern w:val="0"/>
                <w:sz w:val="24"/>
              </w:rPr>
            </w:pPr>
            <w:r>
              <w:rPr>
                <w:rFonts w:hint="eastAsia" w:ascii="宋体" w:hAnsi="宋体"/>
                <w:b/>
                <w:snapToGrid w:val="0"/>
                <w:color w:val="auto"/>
                <w:kern w:val="0"/>
                <w:sz w:val="24"/>
              </w:rPr>
              <w:t>学</w:t>
            </w:r>
          </w:p>
          <w:p w14:paraId="33D91B94">
            <w:pPr>
              <w:widowControl w:val="0"/>
              <w:snapToGrid w:val="0"/>
              <w:jc w:val="center"/>
              <w:rPr>
                <w:rFonts w:hint="eastAsia" w:ascii="宋体" w:hAnsi="宋体"/>
                <w:b/>
                <w:snapToGrid w:val="0"/>
                <w:color w:val="auto"/>
                <w:kern w:val="0"/>
                <w:sz w:val="24"/>
              </w:rPr>
            </w:pPr>
            <w:r>
              <w:rPr>
                <w:rFonts w:hint="eastAsia" w:ascii="宋体" w:hAnsi="宋体"/>
                <w:b/>
                <w:snapToGrid w:val="0"/>
                <w:color w:val="auto"/>
                <w:kern w:val="0"/>
                <w:sz w:val="24"/>
              </w:rPr>
              <w:t>校</w:t>
            </w:r>
          </w:p>
          <w:p w14:paraId="1FC82525">
            <w:pPr>
              <w:widowControl w:val="0"/>
              <w:snapToGrid w:val="0"/>
              <w:jc w:val="center"/>
              <w:rPr>
                <w:rFonts w:hint="eastAsia" w:ascii="宋体" w:hAnsi="宋体"/>
                <w:b/>
                <w:snapToGrid w:val="0"/>
                <w:color w:val="auto"/>
                <w:kern w:val="0"/>
                <w:sz w:val="24"/>
              </w:rPr>
            </w:pPr>
            <w:r>
              <w:rPr>
                <w:rFonts w:hint="eastAsia" w:ascii="宋体" w:hAnsi="宋体"/>
                <w:b/>
                <w:snapToGrid w:val="0"/>
                <w:color w:val="auto"/>
                <w:kern w:val="0"/>
                <w:sz w:val="24"/>
              </w:rPr>
              <w:t>意</w:t>
            </w:r>
          </w:p>
          <w:p w14:paraId="3AF0EA8A">
            <w:pPr>
              <w:widowControl w:val="0"/>
              <w:snapToGrid w:val="0"/>
              <w:jc w:val="center"/>
              <w:rPr>
                <w:rFonts w:hint="eastAsia" w:ascii="宋体" w:hAnsi="宋体" w:eastAsia="宋体" w:cs="Times New Roman"/>
                <w:b/>
                <w:snapToGrid w:val="0"/>
                <w:color w:val="auto"/>
                <w:kern w:val="0"/>
                <w:sz w:val="24"/>
                <w:szCs w:val="24"/>
                <w:lang w:val="en-US" w:eastAsia="zh-CN" w:bidi="ar-SA"/>
              </w:rPr>
            </w:pPr>
            <w:r>
              <w:rPr>
                <w:rFonts w:hint="eastAsia" w:ascii="宋体" w:hAnsi="宋体"/>
                <w:b/>
                <w:snapToGrid w:val="0"/>
                <w:color w:val="auto"/>
                <w:kern w:val="0"/>
                <w:sz w:val="24"/>
              </w:rPr>
              <w:t>见</w:t>
            </w:r>
          </w:p>
        </w:tc>
        <w:tc>
          <w:tcPr>
            <w:tcW w:w="7251" w:type="dxa"/>
            <w:gridSpan w:val="7"/>
            <w:noWrap w:val="0"/>
            <w:vAlign w:val="top"/>
          </w:tcPr>
          <w:p w14:paraId="5EEE9046">
            <w:pPr>
              <w:widowControl w:val="0"/>
              <w:snapToGrid w:val="0"/>
              <w:ind w:firstLine="1920" w:firstLineChars="800"/>
              <w:rPr>
                <w:rFonts w:hint="eastAsia" w:ascii="宋体" w:hAnsi="宋体"/>
                <w:snapToGrid w:val="0"/>
                <w:color w:val="auto"/>
                <w:kern w:val="0"/>
                <w:sz w:val="24"/>
              </w:rPr>
            </w:pPr>
          </w:p>
          <w:p w14:paraId="010BDE8A">
            <w:pPr>
              <w:widowControl w:val="0"/>
              <w:snapToGrid w:val="0"/>
              <w:ind w:firstLine="1920" w:firstLineChars="800"/>
              <w:rPr>
                <w:rFonts w:hint="eastAsia" w:ascii="宋体" w:hAnsi="宋体"/>
                <w:snapToGrid w:val="0"/>
                <w:color w:val="auto"/>
                <w:kern w:val="0"/>
                <w:sz w:val="24"/>
              </w:rPr>
            </w:pPr>
          </w:p>
          <w:p w14:paraId="3F246ADF">
            <w:pPr>
              <w:widowControl w:val="0"/>
              <w:snapToGrid w:val="0"/>
              <w:ind w:firstLine="1920" w:firstLineChars="800"/>
              <w:rPr>
                <w:rFonts w:hint="eastAsia" w:ascii="宋体" w:hAnsi="宋体"/>
                <w:snapToGrid w:val="0"/>
                <w:color w:val="auto"/>
                <w:kern w:val="0"/>
                <w:sz w:val="24"/>
              </w:rPr>
            </w:pPr>
          </w:p>
          <w:p w14:paraId="38841BA4">
            <w:pPr>
              <w:widowControl w:val="0"/>
              <w:snapToGrid w:val="0"/>
              <w:ind w:firstLine="1920" w:firstLineChars="800"/>
              <w:rPr>
                <w:rFonts w:hint="eastAsia" w:ascii="宋体" w:hAnsi="宋体"/>
                <w:snapToGrid w:val="0"/>
                <w:color w:val="auto"/>
                <w:kern w:val="0"/>
                <w:sz w:val="24"/>
              </w:rPr>
            </w:pPr>
          </w:p>
          <w:p w14:paraId="542450B4">
            <w:pPr>
              <w:widowControl w:val="0"/>
              <w:tabs>
                <w:tab w:val="left" w:pos="4392"/>
              </w:tabs>
              <w:snapToGrid w:val="0"/>
              <w:ind w:right="960" w:firstLine="3600" w:firstLineChars="1500"/>
              <w:jc w:val="both"/>
              <w:rPr>
                <w:rFonts w:hint="eastAsia" w:ascii="宋体" w:hAnsi="宋体"/>
                <w:snapToGrid w:val="0"/>
                <w:color w:val="auto"/>
                <w:kern w:val="0"/>
                <w:sz w:val="24"/>
              </w:rPr>
            </w:pPr>
            <w:r>
              <w:rPr>
                <w:rFonts w:hint="eastAsia" w:ascii="宋体" w:hAnsi="宋体"/>
                <w:snapToGrid w:val="0"/>
                <w:color w:val="auto"/>
                <w:kern w:val="0"/>
                <w:sz w:val="24"/>
              </w:rPr>
              <w:t>（公  章）</w:t>
            </w:r>
          </w:p>
          <w:p w14:paraId="15F4DBA5">
            <w:pPr>
              <w:widowControl w:val="0"/>
              <w:snapToGrid w:val="0"/>
              <w:ind w:firstLine="1920" w:firstLineChars="800"/>
              <w:rPr>
                <w:rFonts w:hint="eastAsia" w:ascii="宋体" w:hAnsi="宋体"/>
                <w:snapToGrid w:val="0"/>
                <w:color w:val="auto"/>
                <w:kern w:val="0"/>
                <w:sz w:val="24"/>
              </w:rPr>
            </w:pPr>
            <w:r>
              <w:rPr>
                <w:rFonts w:hint="eastAsia" w:ascii="宋体" w:hAnsi="宋体"/>
                <w:snapToGrid w:val="0"/>
                <w:color w:val="auto"/>
                <w:kern w:val="0"/>
                <w:sz w:val="24"/>
              </w:rPr>
              <w:t xml:space="preserve">                            年 </w:t>
            </w:r>
            <w:r>
              <w:rPr>
                <w:rFonts w:hint="eastAsia" w:ascii="宋体" w:hAnsi="宋体"/>
                <w:snapToGrid w:val="0"/>
                <w:color w:val="auto"/>
                <w:kern w:val="0"/>
                <w:sz w:val="24"/>
                <w:lang w:val="en-US" w:eastAsia="zh-CN"/>
              </w:rPr>
              <w:t xml:space="preserve"> </w:t>
            </w:r>
            <w:r>
              <w:rPr>
                <w:rFonts w:hint="eastAsia" w:ascii="宋体" w:hAnsi="宋体"/>
                <w:snapToGrid w:val="0"/>
                <w:color w:val="auto"/>
                <w:kern w:val="0"/>
                <w:sz w:val="24"/>
              </w:rPr>
              <w:t xml:space="preserve"> 月 </w:t>
            </w:r>
            <w:r>
              <w:rPr>
                <w:rFonts w:hint="eastAsia" w:ascii="宋体" w:hAnsi="宋体"/>
                <w:snapToGrid w:val="0"/>
                <w:color w:val="auto"/>
                <w:kern w:val="0"/>
                <w:sz w:val="24"/>
                <w:lang w:val="en-US" w:eastAsia="zh-CN"/>
              </w:rPr>
              <w:t xml:space="preserve">  </w:t>
            </w:r>
            <w:r>
              <w:rPr>
                <w:rFonts w:hint="eastAsia" w:ascii="宋体" w:hAnsi="宋体"/>
                <w:snapToGrid w:val="0"/>
                <w:color w:val="auto"/>
                <w:kern w:val="0"/>
                <w:sz w:val="24"/>
              </w:rPr>
              <w:t xml:space="preserve"> 日</w:t>
            </w:r>
          </w:p>
          <w:p w14:paraId="40FEA4B1">
            <w:pPr>
              <w:widowControl w:val="0"/>
              <w:snapToGrid w:val="0"/>
              <w:ind w:firstLine="1920" w:firstLineChars="800"/>
              <w:rPr>
                <w:rFonts w:hint="eastAsia" w:ascii="宋体" w:hAnsi="宋体" w:eastAsia="宋体" w:cs="Times New Roman"/>
                <w:snapToGrid w:val="0"/>
                <w:color w:val="auto"/>
                <w:kern w:val="0"/>
                <w:sz w:val="24"/>
                <w:szCs w:val="24"/>
                <w:lang w:val="en-US" w:eastAsia="zh-CN" w:bidi="ar-SA"/>
              </w:rPr>
            </w:pPr>
          </w:p>
        </w:tc>
      </w:tr>
    </w:tbl>
    <w:p w14:paraId="6F1C8D7C">
      <w:pPr>
        <w:adjustRightInd w:val="0"/>
        <w:snapToGrid w:val="0"/>
        <w:jc w:val="both"/>
        <w:rPr>
          <w:rFonts w:ascii="仿宋_GB2312" w:eastAsia="仿宋_GB2312"/>
          <w:b/>
          <w:color w:val="auto"/>
          <w:sz w:val="32"/>
        </w:rPr>
        <w:sectPr>
          <w:footerReference r:id="rId6" w:type="default"/>
          <w:pgSz w:w="11906" w:h="16838"/>
          <w:pgMar w:top="1440" w:right="1247" w:bottom="1440" w:left="1247" w:header="851" w:footer="992" w:gutter="0"/>
          <w:pgNumType w:fmt="decimal"/>
          <w:cols w:space="720" w:num="1"/>
          <w:docGrid w:type="lines" w:linePitch="312" w:charSpace="0"/>
        </w:sectPr>
      </w:pPr>
    </w:p>
    <w:p w14:paraId="53A095A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28F7043">
      <w:pPr>
        <w:adjustRightInd w:val="0"/>
        <w:snapToGrid w:val="0"/>
        <w:jc w:val="both"/>
        <w:rPr>
          <w:rFonts w:hint="eastAsia" w:ascii="黑体" w:hAnsi="黑体" w:eastAsia="黑体" w:cs="黑体"/>
          <w:color w:val="auto"/>
          <w:sz w:val="28"/>
          <w:szCs w:val="28"/>
        </w:rPr>
      </w:pPr>
      <w:r>
        <w:rPr>
          <w:rFonts w:hint="eastAsia" w:ascii="黑体" w:hAnsi="黑体" w:eastAsia="黑体" w:cs="黑体"/>
          <w:color w:val="auto"/>
          <w:sz w:val="28"/>
          <w:szCs w:val="28"/>
        </w:rPr>
        <w:t>附件</w:t>
      </w:r>
      <w:r>
        <w:rPr>
          <w:rFonts w:hint="eastAsia" w:ascii="黑体" w:hAnsi="黑体" w:eastAsia="黑体" w:cs="黑体"/>
          <w:color w:val="auto"/>
          <w:sz w:val="28"/>
          <w:szCs w:val="28"/>
          <w:lang w:val="en-US" w:eastAsia="zh-CN"/>
        </w:rPr>
        <w:t>2</w:t>
      </w:r>
      <w:r>
        <w:rPr>
          <w:rFonts w:hint="eastAsia" w:ascii="黑体" w:hAnsi="黑体" w:eastAsia="黑体" w:cs="黑体"/>
          <w:color w:val="auto"/>
          <w:sz w:val="28"/>
          <w:szCs w:val="28"/>
        </w:rPr>
        <w:t>：</w:t>
      </w:r>
    </w:p>
    <w:p w14:paraId="6882BC29">
      <w:pPr>
        <w:bidi w:val="0"/>
        <w:jc w:val="center"/>
        <w:outlineLvl w:val="9"/>
        <w:rPr>
          <w:rFonts w:hint="eastAsia" w:ascii="仿宋_GB2312" w:eastAsia="仿宋_GB2312"/>
          <w:b/>
          <w:color w:val="auto"/>
        </w:rPr>
      </w:pPr>
      <w:r>
        <w:rPr>
          <w:rFonts w:hint="eastAsia" w:ascii="仿宋" w:hAnsi="仿宋" w:eastAsia="仿宋" w:cs="仿宋"/>
          <w:color w:val="auto"/>
          <w:sz w:val="32"/>
          <w:szCs w:val="32"/>
          <w:lang w:val="en-US" w:eastAsia="zh-CN"/>
        </w:rPr>
        <w:t>湖南女子学院教师教学质量优秀奖推荐名单</w:t>
      </w:r>
      <w:r>
        <w:rPr>
          <w:rFonts w:hint="eastAsia" w:ascii="仿宋" w:hAnsi="仿宋" w:eastAsia="仿宋" w:cs="仿宋"/>
          <w:color w:val="auto"/>
          <w:sz w:val="32"/>
          <w:szCs w:val="32"/>
        </w:rPr>
        <w:t>汇总表</w:t>
      </w:r>
    </w:p>
    <w:p w14:paraId="477F462D">
      <w:pPr>
        <w:adjustRightInd w:val="0"/>
        <w:snapToGrid w:val="0"/>
        <w:rPr>
          <w:rFonts w:hint="eastAsia" w:ascii="仿宋_GB2312" w:eastAsia="仿宋_GB2312"/>
          <w:color w:val="auto"/>
          <w:sz w:val="32"/>
        </w:rPr>
      </w:pPr>
      <w:r>
        <w:rPr>
          <w:rFonts w:hint="eastAsia" w:ascii="仿宋_GB2312" w:eastAsia="仿宋_GB2312"/>
          <w:color w:val="auto"/>
          <w:sz w:val="32"/>
        </w:rPr>
        <w:t xml:space="preserve">        </w:t>
      </w:r>
    </w:p>
    <w:p w14:paraId="2C558D24">
      <w:pPr>
        <w:adjustRightInd w:val="0"/>
        <w:snapToGrid w:val="0"/>
        <w:ind w:left="5759" w:leftChars="114" w:hanging="5520" w:hangingChars="2300"/>
        <w:rPr>
          <w:rFonts w:hint="eastAsia" w:ascii="仿宋_GB2312" w:eastAsia="仿宋_GB2312"/>
          <w:color w:val="auto"/>
          <w:sz w:val="24"/>
        </w:rPr>
      </w:pPr>
      <w:r>
        <w:rPr>
          <w:rFonts w:hint="eastAsia" w:ascii="仿宋_GB2312" w:hAnsi="宋体" w:eastAsia="仿宋_GB2312"/>
          <w:color w:val="auto"/>
          <w:sz w:val="24"/>
        </w:rPr>
        <w:t>院</w:t>
      </w:r>
      <w:r>
        <w:rPr>
          <w:rFonts w:hint="eastAsia" w:ascii="仿宋_GB2312" w:hAnsi="宋体" w:eastAsia="仿宋_GB2312"/>
          <w:color w:val="auto"/>
          <w:sz w:val="24"/>
          <w:lang w:val="en-US" w:eastAsia="zh-CN"/>
        </w:rPr>
        <w:t>(部）</w:t>
      </w:r>
      <w:r>
        <w:rPr>
          <w:rFonts w:hint="eastAsia" w:ascii="仿宋_GB2312" w:hAnsi="宋体" w:eastAsia="仿宋_GB2312"/>
          <w:color w:val="auto"/>
          <w:sz w:val="24"/>
        </w:rPr>
        <w:t>：</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r>
        <w:rPr>
          <w:rFonts w:hint="eastAsia" w:ascii="仿宋_GB2312" w:hAnsi="宋体" w:eastAsia="仿宋_GB2312"/>
          <w:color w:val="auto"/>
          <w:sz w:val="24"/>
          <w:lang w:val="en-US" w:eastAsia="zh-CN"/>
        </w:rPr>
        <w:t xml:space="preserve">    </w:t>
      </w:r>
      <w:r>
        <w:rPr>
          <w:rFonts w:hint="eastAsia" w:ascii="仿宋_GB2312" w:hAnsi="宋体" w:eastAsia="仿宋_GB2312"/>
          <w:color w:val="auto"/>
          <w:sz w:val="24"/>
        </w:rPr>
        <w:t xml:space="preserve">（盖章）   </w:t>
      </w:r>
      <w:r>
        <w:rPr>
          <w:rFonts w:hint="eastAsia" w:ascii="仿宋_GB2312" w:hAnsi="宋体" w:eastAsia="仿宋_GB2312"/>
          <w:color w:val="auto"/>
          <w:sz w:val="24"/>
          <w:lang w:val="en-US" w:eastAsia="zh-CN"/>
        </w:rPr>
        <w:t xml:space="preserve">                      </w:t>
      </w:r>
      <w:r>
        <w:rPr>
          <w:rFonts w:hint="eastAsia" w:ascii="仿宋_GB2312" w:hAnsi="宋体" w:eastAsia="仿宋_GB2312"/>
          <w:color w:val="auto"/>
          <w:sz w:val="24"/>
        </w:rPr>
        <w:t xml:space="preserve"> </w:t>
      </w:r>
      <w:r>
        <w:rPr>
          <w:rFonts w:hint="eastAsia" w:ascii="仿宋_GB2312" w:hAnsi="宋体" w:eastAsia="仿宋_GB2312"/>
          <w:color w:val="auto"/>
          <w:sz w:val="24"/>
          <w:lang w:val="en-US" w:eastAsia="zh-CN"/>
        </w:rPr>
        <w:t xml:space="preserve">                             </w:t>
      </w:r>
      <w:r>
        <w:rPr>
          <w:rFonts w:hint="eastAsia" w:ascii="仿宋_GB2312" w:hAnsi="宋体" w:eastAsia="仿宋_GB2312"/>
          <w:color w:val="auto"/>
          <w:sz w:val="24"/>
        </w:rPr>
        <w:t xml:space="preserve"> </w:t>
      </w:r>
      <w:r>
        <w:rPr>
          <w:rFonts w:hint="eastAsia" w:ascii="仿宋_GB2312" w:eastAsia="仿宋_GB2312"/>
          <w:color w:val="auto"/>
          <w:sz w:val="24"/>
        </w:rPr>
        <w:t>年    月    日</w:t>
      </w:r>
    </w:p>
    <w:p w14:paraId="0B75B1E6">
      <w:pPr>
        <w:adjustRightInd w:val="0"/>
        <w:snapToGrid w:val="0"/>
        <w:ind w:left="5069" w:leftChars="114" w:hanging="4830" w:hangingChars="2300"/>
        <w:rPr>
          <w:rFonts w:hint="eastAsia" w:ascii="仿宋_GB2312" w:eastAsia="仿宋_GB2312"/>
          <w:color w:val="auto"/>
          <w:sz w:val="24"/>
        </w:rPr>
      </w:pPr>
      <w:r>
        <w:rPr>
          <w:rFonts w:hint="eastAsia" w:ascii="仿宋_GB2312" w:eastAsia="仿宋_GB2312"/>
          <w:color w:val="auto"/>
          <w:szCs w:val="21"/>
        </w:rPr>
        <w:t xml:space="preserve">                                                               </w:t>
      </w:r>
    </w:p>
    <w:tbl>
      <w:tblPr>
        <w:tblStyle w:val="14"/>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714"/>
        <w:gridCol w:w="620"/>
        <w:gridCol w:w="691"/>
        <w:gridCol w:w="676"/>
        <w:gridCol w:w="604"/>
        <w:gridCol w:w="792"/>
        <w:gridCol w:w="596"/>
        <w:gridCol w:w="1061"/>
        <w:gridCol w:w="979"/>
        <w:gridCol w:w="671"/>
        <w:gridCol w:w="673"/>
      </w:tblGrid>
      <w:tr w14:paraId="610F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 w:type="pct"/>
            <w:vMerge w:val="restart"/>
            <w:noWrap w:val="0"/>
            <w:vAlign w:val="center"/>
          </w:tcPr>
          <w:p w14:paraId="1CE4753D">
            <w:pPr>
              <w:adjustRightInd w:val="0"/>
              <w:snapToGrid w:val="0"/>
              <w:jc w:val="center"/>
              <w:rPr>
                <w:rFonts w:hint="eastAsia" w:ascii="仿宋_GB2312" w:eastAsia="仿宋_GB2312"/>
                <w:b/>
                <w:color w:val="auto"/>
                <w:sz w:val="24"/>
              </w:rPr>
            </w:pPr>
            <w:r>
              <w:rPr>
                <w:rFonts w:hint="eastAsia" w:ascii="仿宋_GB2312" w:eastAsia="仿宋_GB2312"/>
                <w:b/>
                <w:color w:val="auto"/>
                <w:sz w:val="24"/>
              </w:rPr>
              <w:t>序号</w:t>
            </w:r>
          </w:p>
        </w:tc>
        <w:tc>
          <w:tcPr>
            <w:tcW w:w="419" w:type="pct"/>
            <w:vMerge w:val="restart"/>
            <w:noWrap w:val="0"/>
            <w:vAlign w:val="center"/>
          </w:tcPr>
          <w:p w14:paraId="17F93FBC">
            <w:pPr>
              <w:adjustRightInd w:val="0"/>
              <w:snapToGrid w:val="0"/>
              <w:jc w:val="center"/>
              <w:rPr>
                <w:rFonts w:hint="eastAsia" w:ascii="仿宋_GB2312" w:eastAsia="仿宋_GB2312"/>
                <w:b/>
                <w:color w:val="auto"/>
                <w:sz w:val="24"/>
              </w:rPr>
            </w:pPr>
            <w:r>
              <w:rPr>
                <w:rFonts w:hint="eastAsia" w:ascii="仿宋_GB2312" w:eastAsia="仿宋_GB2312"/>
                <w:b/>
                <w:color w:val="auto"/>
                <w:sz w:val="24"/>
              </w:rPr>
              <w:t>教师</w:t>
            </w:r>
          </w:p>
          <w:p w14:paraId="3AD3717A">
            <w:pPr>
              <w:adjustRightInd w:val="0"/>
              <w:snapToGrid w:val="0"/>
              <w:jc w:val="center"/>
              <w:rPr>
                <w:rFonts w:hint="eastAsia" w:ascii="仿宋_GB2312" w:eastAsia="仿宋_GB2312"/>
                <w:b/>
                <w:color w:val="auto"/>
                <w:sz w:val="24"/>
              </w:rPr>
            </w:pPr>
            <w:r>
              <w:rPr>
                <w:rFonts w:hint="eastAsia" w:ascii="仿宋_GB2312" w:eastAsia="仿宋_GB2312"/>
                <w:b/>
                <w:color w:val="auto"/>
                <w:sz w:val="24"/>
              </w:rPr>
              <w:t>姓名</w:t>
            </w:r>
          </w:p>
        </w:tc>
        <w:tc>
          <w:tcPr>
            <w:tcW w:w="364" w:type="pct"/>
            <w:vMerge w:val="restart"/>
            <w:noWrap w:val="0"/>
            <w:vAlign w:val="center"/>
          </w:tcPr>
          <w:p w14:paraId="5428EAA6">
            <w:pPr>
              <w:adjustRightInd w:val="0"/>
              <w:snapToGrid w:val="0"/>
              <w:jc w:val="center"/>
              <w:rPr>
                <w:rFonts w:hint="eastAsia" w:ascii="仿宋_GB2312" w:eastAsia="仿宋_GB2312"/>
                <w:b/>
                <w:color w:val="auto"/>
                <w:sz w:val="24"/>
                <w:lang w:eastAsia="zh-CN"/>
              </w:rPr>
            </w:pPr>
            <w:r>
              <w:rPr>
                <w:rFonts w:hint="eastAsia" w:ascii="仿宋_GB2312" w:eastAsia="仿宋_GB2312"/>
                <w:b/>
                <w:color w:val="auto"/>
                <w:sz w:val="24"/>
                <w:lang w:eastAsia="zh-CN"/>
              </w:rPr>
              <w:t>学</w:t>
            </w:r>
            <w:r>
              <w:rPr>
                <w:rFonts w:hint="eastAsia" w:ascii="仿宋_GB2312" w:eastAsia="仿宋_GB2312"/>
                <w:b/>
                <w:color w:val="auto"/>
                <w:sz w:val="24"/>
                <w:lang w:val="en-US" w:eastAsia="zh-CN"/>
              </w:rPr>
              <w:t xml:space="preserve">  </w:t>
            </w:r>
            <w:r>
              <w:rPr>
                <w:rFonts w:hint="eastAsia" w:ascii="仿宋_GB2312" w:eastAsia="仿宋_GB2312"/>
                <w:b/>
                <w:color w:val="auto"/>
                <w:sz w:val="24"/>
                <w:lang w:eastAsia="zh-CN"/>
              </w:rPr>
              <w:t>历</w:t>
            </w:r>
          </w:p>
        </w:tc>
        <w:tc>
          <w:tcPr>
            <w:tcW w:w="406" w:type="pct"/>
            <w:vMerge w:val="restart"/>
            <w:noWrap w:val="0"/>
            <w:vAlign w:val="center"/>
          </w:tcPr>
          <w:p w14:paraId="05A1DF83">
            <w:pPr>
              <w:adjustRightInd w:val="0"/>
              <w:snapToGrid w:val="0"/>
              <w:jc w:val="center"/>
              <w:rPr>
                <w:rFonts w:hint="eastAsia" w:ascii="仿宋_GB2312" w:eastAsia="仿宋_GB2312"/>
                <w:b/>
                <w:color w:val="auto"/>
                <w:sz w:val="24"/>
                <w:lang w:eastAsia="zh-CN"/>
              </w:rPr>
            </w:pPr>
            <w:r>
              <w:rPr>
                <w:rFonts w:hint="eastAsia" w:ascii="仿宋_GB2312" w:eastAsia="仿宋_GB2312"/>
                <w:b/>
                <w:color w:val="auto"/>
                <w:sz w:val="24"/>
              </w:rPr>
              <w:t>职  称</w:t>
            </w:r>
          </w:p>
        </w:tc>
        <w:tc>
          <w:tcPr>
            <w:tcW w:w="752" w:type="pct"/>
            <w:gridSpan w:val="2"/>
            <w:noWrap w:val="0"/>
            <w:vAlign w:val="center"/>
          </w:tcPr>
          <w:p w14:paraId="3656B3C2">
            <w:pPr>
              <w:adjustRightInd w:val="0"/>
              <w:snapToGrid w:val="0"/>
              <w:jc w:val="center"/>
              <w:rPr>
                <w:rFonts w:hint="eastAsia" w:ascii="仿宋_GB2312" w:eastAsia="仿宋_GB2312"/>
                <w:b/>
                <w:color w:val="auto"/>
                <w:sz w:val="24"/>
                <w:lang w:eastAsia="zh-CN"/>
              </w:rPr>
            </w:pPr>
            <w:r>
              <w:rPr>
                <w:rFonts w:hint="eastAsia" w:ascii="仿宋_GB2312" w:eastAsia="仿宋_GB2312"/>
                <w:b/>
                <w:color w:val="auto"/>
                <w:sz w:val="24"/>
                <w:lang w:eastAsia="zh-CN"/>
              </w:rPr>
              <w:t>师德师风计分</w:t>
            </w:r>
          </w:p>
          <w:p w14:paraId="11C8C69A">
            <w:pPr>
              <w:adjustRightInd w:val="0"/>
              <w:snapToGrid w:val="0"/>
              <w:jc w:val="center"/>
              <w:rPr>
                <w:rFonts w:hint="default" w:ascii="仿宋_GB2312" w:eastAsia="仿宋_GB2312"/>
                <w:b/>
                <w:color w:val="auto"/>
                <w:sz w:val="24"/>
                <w:lang w:val="en-US" w:eastAsia="zh-CN"/>
              </w:rPr>
            </w:pPr>
            <w:r>
              <w:rPr>
                <w:rFonts w:hint="eastAsia" w:ascii="仿宋_GB2312" w:eastAsia="仿宋_GB2312"/>
                <w:b/>
                <w:color w:val="auto"/>
                <w:sz w:val="24"/>
                <w:lang w:eastAsia="zh-CN"/>
              </w:rPr>
              <w:t>（</w:t>
            </w:r>
            <w:r>
              <w:rPr>
                <w:rFonts w:hint="eastAsia" w:ascii="仿宋_GB2312" w:eastAsia="仿宋_GB2312"/>
                <w:b/>
                <w:color w:val="auto"/>
                <w:sz w:val="24"/>
                <w:lang w:val="en-US" w:eastAsia="zh-CN"/>
              </w:rPr>
              <w:t>10%）</w:t>
            </w:r>
          </w:p>
        </w:tc>
        <w:tc>
          <w:tcPr>
            <w:tcW w:w="815" w:type="pct"/>
            <w:gridSpan w:val="2"/>
            <w:noWrap w:val="0"/>
            <w:vAlign w:val="center"/>
          </w:tcPr>
          <w:p w14:paraId="6673CB3A">
            <w:pPr>
              <w:adjustRightInd w:val="0"/>
              <w:snapToGrid w:val="0"/>
              <w:jc w:val="center"/>
              <w:rPr>
                <w:rFonts w:hint="eastAsia" w:ascii="仿宋_GB2312" w:eastAsia="仿宋_GB2312"/>
                <w:b/>
                <w:color w:val="auto"/>
                <w:sz w:val="24"/>
                <w:lang w:eastAsia="zh-CN"/>
              </w:rPr>
            </w:pPr>
            <w:r>
              <w:rPr>
                <w:rFonts w:hint="eastAsia" w:ascii="仿宋_GB2312" w:eastAsia="仿宋_GB2312"/>
                <w:b/>
                <w:color w:val="auto"/>
                <w:sz w:val="24"/>
                <w:lang w:eastAsia="zh-CN"/>
              </w:rPr>
              <w:t>课程教学质量计分</w:t>
            </w:r>
          </w:p>
          <w:p w14:paraId="61AFF0C5">
            <w:pPr>
              <w:adjustRightInd w:val="0"/>
              <w:snapToGrid w:val="0"/>
              <w:jc w:val="center"/>
              <w:rPr>
                <w:rFonts w:hint="eastAsia" w:ascii="仿宋_GB2312" w:eastAsia="仿宋_GB2312"/>
                <w:b/>
                <w:color w:val="auto"/>
                <w:sz w:val="24"/>
                <w:lang w:eastAsia="zh-CN"/>
              </w:rPr>
            </w:pPr>
            <w:r>
              <w:rPr>
                <w:rFonts w:hint="eastAsia" w:ascii="仿宋_GB2312" w:eastAsia="仿宋_GB2312"/>
                <w:b/>
                <w:color w:val="auto"/>
                <w:sz w:val="24"/>
                <w:lang w:eastAsia="zh-CN"/>
              </w:rPr>
              <w:t>（</w:t>
            </w:r>
            <w:r>
              <w:rPr>
                <w:rFonts w:hint="eastAsia" w:ascii="仿宋_GB2312" w:eastAsia="仿宋_GB2312"/>
                <w:b/>
                <w:color w:val="auto"/>
                <w:sz w:val="24"/>
                <w:lang w:val="en-US" w:eastAsia="zh-CN"/>
              </w:rPr>
              <w:t>80%）</w:t>
            </w:r>
          </w:p>
        </w:tc>
        <w:tc>
          <w:tcPr>
            <w:tcW w:w="1198" w:type="pct"/>
            <w:gridSpan w:val="2"/>
            <w:noWrap w:val="0"/>
            <w:vAlign w:val="center"/>
          </w:tcPr>
          <w:p w14:paraId="68056F47">
            <w:pPr>
              <w:adjustRightInd w:val="0"/>
              <w:snapToGrid w:val="0"/>
              <w:jc w:val="center"/>
              <w:rPr>
                <w:rFonts w:hint="eastAsia" w:ascii="仿宋_GB2312" w:eastAsia="仿宋_GB2312"/>
                <w:b/>
                <w:color w:val="auto"/>
                <w:sz w:val="24"/>
                <w:lang w:eastAsia="zh-CN"/>
              </w:rPr>
            </w:pPr>
            <w:r>
              <w:rPr>
                <w:rFonts w:hint="eastAsia" w:ascii="仿宋_GB2312" w:eastAsia="仿宋_GB2312"/>
                <w:b/>
                <w:color w:val="auto"/>
                <w:sz w:val="24"/>
              </w:rPr>
              <w:t>教学工作量</w:t>
            </w:r>
            <w:r>
              <w:rPr>
                <w:rFonts w:hint="eastAsia" w:ascii="仿宋_GB2312" w:eastAsia="仿宋_GB2312"/>
                <w:b/>
                <w:color w:val="auto"/>
                <w:sz w:val="24"/>
                <w:lang w:eastAsia="zh-CN"/>
              </w:rPr>
              <w:t>、</w:t>
            </w:r>
            <w:r>
              <w:rPr>
                <w:rFonts w:hint="eastAsia" w:ascii="仿宋_GB2312" w:eastAsia="仿宋_GB2312"/>
                <w:b/>
                <w:color w:val="auto"/>
                <w:sz w:val="24"/>
              </w:rPr>
              <w:t>教学</w:t>
            </w:r>
            <w:r>
              <w:rPr>
                <w:rFonts w:hint="eastAsia" w:ascii="仿宋_GB2312" w:eastAsia="仿宋_GB2312"/>
                <w:b/>
                <w:color w:val="auto"/>
                <w:sz w:val="24"/>
                <w:lang w:eastAsia="zh-CN"/>
              </w:rPr>
              <w:t>业绩计分</w:t>
            </w:r>
          </w:p>
          <w:p w14:paraId="6D2937D8">
            <w:pPr>
              <w:adjustRightInd w:val="0"/>
              <w:snapToGrid w:val="0"/>
              <w:jc w:val="center"/>
              <w:rPr>
                <w:rFonts w:hint="eastAsia" w:ascii="仿宋_GB2312" w:eastAsia="仿宋_GB2312"/>
                <w:b/>
                <w:color w:val="auto"/>
                <w:sz w:val="24"/>
                <w:lang w:eastAsia="zh-CN"/>
              </w:rPr>
            </w:pPr>
            <w:r>
              <w:rPr>
                <w:rFonts w:hint="eastAsia" w:ascii="仿宋_GB2312" w:eastAsia="仿宋_GB2312"/>
                <w:b/>
                <w:color w:val="auto"/>
                <w:sz w:val="24"/>
                <w:lang w:eastAsia="zh-CN"/>
              </w:rPr>
              <w:t>（</w:t>
            </w:r>
            <w:r>
              <w:rPr>
                <w:rFonts w:hint="eastAsia" w:ascii="仿宋_GB2312" w:eastAsia="仿宋_GB2312"/>
                <w:b/>
                <w:color w:val="auto"/>
                <w:sz w:val="24"/>
                <w:lang w:val="en-US" w:eastAsia="zh-CN"/>
              </w:rPr>
              <w:t>10%）</w:t>
            </w:r>
          </w:p>
        </w:tc>
        <w:tc>
          <w:tcPr>
            <w:tcW w:w="394" w:type="pct"/>
            <w:noWrap w:val="0"/>
            <w:vAlign w:val="center"/>
          </w:tcPr>
          <w:p w14:paraId="6C006050">
            <w:pPr>
              <w:adjustRightInd w:val="0"/>
              <w:snapToGrid w:val="0"/>
              <w:jc w:val="center"/>
              <w:rPr>
                <w:rFonts w:hint="eastAsia" w:ascii="仿宋_GB2312" w:eastAsia="仿宋_GB2312"/>
                <w:b/>
                <w:color w:val="auto"/>
                <w:sz w:val="24"/>
                <w:lang w:eastAsia="zh-CN"/>
              </w:rPr>
            </w:pPr>
            <w:r>
              <w:rPr>
                <w:rFonts w:hint="eastAsia" w:ascii="仿宋_GB2312" w:eastAsia="仿宋_GB2312"/>
                <w:b/>
                <w:color w:val="auto"/>
                <w:sz w:val="24"/>
                <w:lang w:eastAsia="zh-CN"/>
              </w:rPr>
              <w:t>折后</w:t>
            </w:r>
          </w:p>
          <w:p w14:paraId="0B323799">
            <w:pPr>
              <w:adjustRightInd w:val="0"/>
              <w:snapToGrid w:val="0"/>
              <w:jc w:val="center"/>
              <w:rPr>
                <w:rFonts w:hint="eastAsia" w:ascii="仿宋_GB2312" w:eastAsia="仿宋_GB2312"/>
                <w:b/>
                <w:color w:val="auto"/>
                <w:sz w:val="24"/>
              </w:rPr>
            </w:pPr>
            <w:r>
              <w:rPr>
                <w:rFonts w:hint="eastAsia" w:ascii="仿宋_GB2312" w:eastAsia="仿宋_GB2312"/>
                <w:b/>
                <w:color w:val="auto"/>
                <w:sz w:val="24"/>
                <w:lang w:eastAsia="zh-CN"/>
              </w:rPr>
              <w:t>合计分</w:t>
            </w:r>
          </w:p>
        </w:tc>
        <w:tc>
          <w:tcPr>
            <w:tcW w:w="395" w:type="pct"/>
            <w:noWrap w:val="0"/>
            <w:vAlign w:val="center"/>
          </w:tcPr>
          <w:p w14:paraId="2956A417">
            <w:pPr>
              <w:adjustRightInd w:val="0"/>
              <w:snapToGrid w:val="0"/>
              <w:jc w:val="center"/>
              <w:rPr>
                <w:rFonts w:hint="eastAsia" w:ascii="仿宋_GB2312" w:eastAsia="仿宋_GB2312"/>
                <w:b/>
                <w:color w:val="auto"/>
                <w:sz w:val="24"/>
              </w:rPr>
            </w:pPr>
            <w:r>
              <w:rPr>
                <w:rFonts w:hint="eastAsia" w:ascii="仿宋_GB2312" w:eastAsia="仿宋_GB2312"/>
                <w:b/>
                <w:color w:val="auto"/>
                <w:sz w:val="24"/>
              </w:rPr>
              <w:t>备注</w:t>
            </w:r>
          </w:p>
        </w:tc>
      </w:tr>
      <w:tr w14:paraId="17A8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52" w:type="pct"/>
            <w:vMerge w:val="continue"/>
            <w:noWrap w:val="0"/>
            <w:vAlign w:val="center"/>
          </w:tcPr>
          <w:p w14:paraId="53FE3592">
            <w:pPr>
              <w:adjustRightInd w:val="0"/>
              <w:snapToGrid w:val="0"/>
              <w:jc w:val="center"/>
              <w:rPr>
                <w:rFonts w:hint="eastAsia" w:ascii="仿宋_GB2312" w:eastAsia="仿宋_GB2312"/>
                <w:color w:val="auto"/>
                <w:sz w:val="24"/>
              </w:rPr>
            </w:pPr>
          </w:p>
        </w:tc>
        <w:tc>
          <w:tcPr>
            <w:tcW w:w="419" w:type="pct"/>
            <w:vMerge w:val="continue"/>
            <w:noWrap w:val="0"/>
            <w:vAlign w:val="center"/>
          </w:tcPr>
          <w:p w14:paraId="4D0EA682">
            <w:pPr>
              <w:adjustRightInd w:val="0"/>
              <w:snapToGrid w:val="0"/>
              <w:jc w:val="center"/>
              <w:rPr>
                <w:rFonts w:hint="eastAsia" w:ascii="仿宋_GB2312" w:eastAsia="仿宋_GB2312"/>
                <w:color w:val="auto"/>
                <w:sz w:val="24"/>
              </w:rPr>
            </w:pPr>
          </w:p>
        </w:tc>
        <w:tc>
          <w:tcPr>
            <w:tcW w:w="364" w:type="pct"/>
            <w:vMerge w:val="continue"/>
            <w:noWrap w:val="0"/>
            <w:vAlign w:val="center"/>
          </w:tcPr>
          <w:p w14:paraId="1CC915B0">
            <w:pPr>
              <w:adjustRightInd w:val="0"/>
              <w:snapToGrid w:val="0"/>
              <w:jc w:val="center"/>
              <w:rPr>
                <w:rFonts w:hint="eastAsia" w:ascii="仿宋_GB2312" w:eastAsia="仿宋_GB2312"/>
                <w:color w:val="auto"/>
                <w:sz w:val="24"/>
              </w:rPr>
            </w:pPr>
          </w:p>
        </w:tc>
        <w:tc>
          <w:tcPr>
            <w:tcW w:w="406" w:type="pct"/>
            <w:vMerge w:val="continue"/>
            <w:noWrap w:val="0"/>
            <w:vAlign w:val="center"/>
          </w:tcPr>
          <w:p w14:paraId="3588396A">
            <w:pPr>
              <w:adjustRightInd w:val="0"/>
              <w:snapToGrid w:val="0"/>
              <w:jc w:val="center"/>
              <w:rPr>
                <w:rFonts w:hint="eastAsia" w:ascii="仿宋_GB2312" w:eastAsia="仿宋_GB2312"/>
                <w:b/>
                <w:color w:val="auto"/>
                <w:sz w:val="24"/>
                <w:lang w:eastAsia="zh-CN"/>
              </w:rPr>
            </w:pPr>
          </w:p>
        </w:tc>
        <w:tc>
          <w:tcPr>
            <w:tcW w:w="397" w:type="pct"/>
            <w:noWrap w:val="0"/>
            <w:vAlign w:val="center"/>
          </w:tcPr>
          <w:p w14:paraId="72776D19">
            <w:pPr>
              <w:adjustRightInd w:val="0"/>
              <w:snapToGrid w:val="0"/>
              <w:jc w:val="center"/>
              <w:rPr>
                <w:rFonts w:hint="eastAsia" w:ascii="仿宋_GB2312" w:eastAsia="仿宋_GB2312"/>
                <w:b/>
                <w:color w:val="auto"/>
                <w:sz w:val="24"/>
                <w:lang w:val="en-US" w:eastAsia="zh-CN"/>
              </w:rPr>
            </w:pPr>
            <w:r>
              <w:rPr>
                <w:rFonts w:hint="eastAsia" w:ascii="仿宋_GB2312" w:eastAsia="仿宋_GB2312"/>
                <w:b/>
                <w:color w:val="auto"/>
                <w:sz w:val="24"/>
                <w:lang w:val="en-US" w:eastAsia="zh-CN"/>
              </w:rPr>
              <w:t>原始分</w:t>
            </w:r>
          </w:p>
        </w:tc>
        <w:tc>
          <w:tcPr>
            <w:tcW w:w="355" w:type="pct"/>
            <w:noWrap w:val="0"/>
            <w:vAlign w:val="top"/>
          </w:tcPr>
          <w:p w14:paraId="0EAA7210">
            <w:pPr>
              <w:adjustRightInd w:val="0"/>
              <w:snapToGrid w:val="0"/>
              <w:jc w:val="both"/>
              <w:rPr>
                <w:rFonts w:hint="eastAsia" w:ascii="仿宋_GB2312" w:eastAsia="仿宋_GB2312"/>
                <w:b/>
                <w:color w:val="auto"/>
                <w:sz w:val="24"/>
                <w:lang w:eastAsia="zh-CN"/>
              </w:rPr>
            </w:pPr>
            <w:r>
              <w:rPr>
                <w:rFonts w:hint="eastAsia" w:ascii="仿宋_GB2312" w:hAnsi="Calibri" w:eastAsia="仿宋_GB2312" w:cs="Times New Roman"/>
                <w:b/>
                <w:color w:val="auto"/>
                <w:sz w:val="24"/>
                <w:lang w:val="en-US" w:eastAsia="zh-CN"/>
              </w:rPr>
              <w:t>折后分</w:t>
            </w:r>
          </w:p>
        </w:tc>
        <w:tc>
          <w:tcPr>
            <w:tcW w:w="465" w:type="pct"/>
            <w:noWrap w:val="0"/>
            <w:vAlign w:val="center"/>
          </w:tcPr>
          <w:p w14:paraId="37910B30">
            <w:pPr>
              <w:adjustRightInd w:val="0"/>
              <w:snapToGrid w:val="0"/>
              <w:jc w:val="center"/>
              <w:rPr>
                <w:rFonts w:hint="eastAsia" w:ascii="仿宋_GB2312" w:eastAsia="仿宋_GB2312"/>
                <w:b/>
                <w:color w:val="auto"/>
                <w:sz w:val="24"/>
                <w:lang w:eastAsia="zh-CN"/>
              </w:rPr>
            </w:pPr>
            <w:r>
              <w:rPr>
                <w:rFonts w:hint="eastAsia" w:ascii="仿宋_GB2312" w:eastAsia="仿宋_GB2312"/>
                <w:b/>
                <w:color w:val="auto"/>
                <w:sz w:val="24"/>
                <w:lang w:val="en-US" w:eastAsia="zh-CN"/>
              </w:rPr>
              <w:t>原始分</w:t>
            </w:r>
          </w:p>
        </w:tc>
        <w:tc>
          <w:tcPr>
            <w:tcW w:w="350" w:type="pct"/>
            <w:noWrap w:val="0"/>
            <w:vAlign w:val="top"/>
          </w:tcPr>
          <w:p w14:paraId="0BC78A8C">
            <w:pPr>
              <w:adjustRightInd w:val="0"/>
              <w:snapToGrid w:val="0"/>
              <w:jc w:val="center"/>
              <w:rPr>
                <w:rFonts w:hint="eastAsia" w:ascii="仿宋_GB2312" w:eastAsia="仿宋_GB2312"/>
                <w:b/>
                <w:color w:val="auto"/>
                <w:sz w:val="24"/>
                <w:lang w:eastAsia="zh-CN"/>
              </w:rPr>
            </w:pPr>
            <w:r>
              <w:rPr>
                <w:rFonts w:hint="eastAsia" w:ascii="仿宋_GB2312" w:eastAsia="仿宋_GB2312"/>
                <w:b/>
                <w:color w:val="auto"/>
                <w:sz w:val="24"/>
                <w:lang w:eastAsia="zh-CN"/>
              </w:rPr>
              <w:t>折后分</w:t>
            </w:r>
          </w:p>
        </w:tc>
        <w:tc>
          <w:tcPr>
            <w:tcW w:w="623" w:type="pct"/>
            <w:noWrap w:val="0"/>
            <w:vAlign w:val="center"/>
          </w:tcPr>
          <w:p w14:paraId="23B3F6D6">
            <w:pPr>
              <w:adjustRightInd w:val="0"/>
              <w:snapToGrid w:val="0"/>
              <w:jc w:val="center"/>
              <w:rPr>
                <w:rFonts w:hint="eastAsia" w:ascii="仿宋_GB2312" w:eastAsia="仿宋_GB2312"/>
                <w:b/>
                <w:color w:val="auto"/>
                <w:sz w:val="24"/>
                <w:lang w:eastAsia="zh-CN"/>
              </w:rPr>
            </w:pPr>
            <w:r>
              <w:rPr>
                <w:rFonts w:hint="eastAsia" w:ascii="仿宋_GB2312" w:eastAsia="仿宋_GB2312"/>
                <w:b/>
                <w:color w:val="auto"/>
                <w:sz w:val="24"/>
                <w:lang w:val="en-US" w:eastAsia="zh-CN"/>
              </w:rPr>
              <w:t>原始分</w:t>
            </w:r>
          </w:p>
        </w:tc>
        <w:tc>
          <w:tcPr>
            <w:tcW w:w="575" w:type="pct"/>
            <w:noWrap w:val="0"/>
            <w:vAlign w:val="top"/>
          </w:tcPr>
          <w:p w14:paraId="028A1619">
            <w:pPr>
              <w:adjustRightInd w:val="0"/>
              <w:snapToGrid w:val="0"/>
              <w:jc w:val="center"/>
              <w:rPr>
                <w:rFonts w:hint="eastAsia" w:ascii="仿宋_GB2312" w:eastAsia="仿宋_GB2312"/>
                <w:b/>
                <w:color w:val="auto"/>
                <w:sz w:val="24"/>
                <w:lang w:eastAsia="zh-CN"/>
              </w:rPr>
            </w:pPr>
            <w:r>
              <w:rPr>
                <w:rFonts w:hint="eastAsia" w:ascii="仿宋_GB2312" w:eastAsia="仿宋_GB2312"/>
                <w:b/>
                <w:color w:val="auto"/>
                <w:sz w:val="24"/>
                <w:lang w:eastAsia="zh-CN"/>
              </w:rPr>
              <w:t>折后分</w:t>
            </w:r>
          </w:p>
        </w:tc>
        <w:tc>
          <w:tcPr>
            <w:tcW w:w="394" w:type="pct"/>
            <w:noWrap w:val="0"/>
            <w:vAlign w:val="center"/>
          </w:tcPr>
          <w:p w14:paraId="21166670">
            <w:pPr>
              <w:adjustRightInd w:val="0"/>
              <w:snapToGrid w:val="0"/>
              <w:jc w:val="center"/>
              <w:rPr>
                <w:rFonts w:hint="eastAsia" w:ascii="仿宋_GB2312" w:eastAsia="仿宋_GB2312"/>
                <w:b/>
                <w:color w:val="auto"/>
                <w:sz w:val="24"/>
                <w:lang w:eastAsia="zh-CN"/>
              </w:rPr>
            </w:pPr>
          </w:p>
        </w:tc>
        <w:tc>
          <w:tcPr>
            <w:tcW w:w="395" w:type="pct"/>
            <w:noWrap w:val="0"/>
            <w:vAlign w:val="center"/>
          </w:tcPr>
          <w:p w14:paraId="4DF10AA5">
            <w:pPr>
              <w:adjustRightInd w:val="0"/>
              <w:snapToGrid w:val="0"/>
              <w:jc w:val="center"/>
              <w:rPr>
                <w:rFonts w:hint="eastAsia" w:ascii="仿宋_GB2312" w:eastAsia="仿宋_GB2312"/>
                <w:color w:val="auto"/>
                <w:sz w:val="24"/>
              </w:rPr>
            </w:pPr>
          </w:p>
        </w:tc>
      </w:tr>
      <w:tr w14:paraId="4082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 w:type="pct"/>
            <w:noWrap w:val="0"/>
            <w:vAlign w:val="center"/>
          </w:tcPr>
          <w:p w14:paraId="1BB96499">
            <w:pPr>
              <w:adjustRightInd w:val="0"/>
              <w:snapToGrid w:val="0"/>
              <w:jc w:val="center"/>
              <w:rPr>
                <w:rFonts w:hint="eastAsia" w:ascii="仿宋_GB2312" w:eastAsia="仿宋_GB2312"/>
                <w:color w:val="auto"/>
                <w:sz w:val="24"/>
              </w:rPr>
            </w:pPr>
          </w:p>
        </w:tc>
        <w:tc>
          <w:tcPr>
            <w:tcW w:w="419" w:type="pct"/>
            <w:noWrap w:val="0"/>
            <w:vAlign w:val="center"/>
          </w:tcPr>
          <w:p w14:paraId="4E1253CF">
            <w:pPr>
              <w:adjustRightInd w:val="0"/>
              <w:snapToGrid w:val="0"/>
              <w:jc w:val="center"/>
              <w:rPr>
                <w:rFonts w:hint="eastAsia" w:ascii="仿宋_GB2312" w:eastAsia="仿宋_GB2312"/>
                <w:color w:val="auto"/>
                <w:sz w:val="24"/>
              </w:rPr>
            </w:pPr>
          </w:p>
        </w:tc>
        <w:tc>
          <w:tcPr>
            <w:tcW w:w="364" w:type="pct"/>
            <w:noWrap w:val="0"/>
            <w:vAlign w:val="center"/>
          </w:tcPr>
          <w:p w14:paraId="5CED20FF">
            <w:pPr>
              <w:adjustRightInd w:val="0"/>
              <w:snapToGrid w:val="0"/>
              <w:jc w:val="center"/>
              <w:rPr>
                <w:rFonts w:hint="eastAsia" w:ascii="仿宋_GB2312" w:eastAsia="仿宋_GB2312"/>
                <w:color w:val="auto"/>
                <w:sz w:val="24"/>
              </w:rPr>
            </w:pPr>
          </w:p>
        </w:tc>
        <w:tc>
          <w:tcPr>
            <w:tcW w:w="406" w:type="pct"/>
            <w:noWrap w:val="0"/>
            <w:vAlign w:val="center"/>
          </w:tcPr>
          <w:p w14:paraId="2887360A">
            <w:pPr>
              <w:adjustRightInd w:val="0"/>
              <w:snapToGrid w:val="0"/>
              <w:jc w:val="center"/>
              <w:rPr>
                <w:rFonts w:hint="eastAsia" w:ascii="仿宋_GB2312" w:eastAsia="仿宋_GB2312"/>
                <w:color w:val="auto"/>
                <w:sz w:val="24"/>
              </w:rPr>
            </w:pPr>
          </w:p>
        </w:tc>
        <w:tc>
          <w:tcPr>
            <w:tcW w:w="397" w:type="pct"/>
            <w:noWrap w:val="0"/>
            <w:vAlign w:val="center"/>
          </w:tcPr>
          <w:p w14:paraId="44842BF2">
            <w:pPr>
              <w:adjustRightInd w:val="0"/>
              <w:snapToGrid w:val="0"/>
              <w:jc w:val="center"/>
              <w:rPr>
                <w:rFonts w:hint="eastAsia" w:ascii="仿宋_GB2312" w:eastAsia="仿宋_GB2312"/>
                <w:color w:val="auto"/>
                <w:sz w:val="24"/>
              </w:rPr>
            </w:pPr>
          </w:p>
        </w:tc>
        <w:tc>
          <w:tcPr>
            <w:tcW w:w="355" w:type="pct"/>
            <w:noWrap w:val="0"/>
            <w:vAlign w:val="top"/>
          </w:tcPr>
          <w:p w14:paraId="55472217">
            <w:pPr>
              <w:adjustRightInd w:val="0"/>
              <w:snapToGrid w:val="0"/>
              <w:jc w:val="center"/>
              <w:rPr>
                <w:rFonts w:hint="eastAsia" w:ascii="仿宋_GB2312" w:eastAsia="仿宋_GB2312"/>
                <w:color w:val="auto"/>
                <w:sz w:val="24"/>
              </w:rPr>
            </w:pPr>
          </w:p>
        </w:tc>
        <w:tc>
          <w:tcPr>
            <w:tcW w:w="465" w:type="pct"/>
            <w:noWrap w:val="0"/>
            <w:vAlign w:val="center"/>
          </w:tcPr>
          <w:p w14:paraId="5542FC1C">
            <w:pPr>
              <w:adjustRightInd w:val="0"/>
              <w:snapToGrid w:val="0"/>
              <w:jc w:val="center"/>
              <w:rPr>
                <w:rFonts w:hint="eastAsia" w:ascii="仿宋_GB2312" w:eastAsia="仿宋_GB2312"/>
                <w:color w:val="auto"/>
                <w:sz w:val="24"/>
              </w:rPr>
            </w:pPr>
          </w:p>
        </w:tc>
        <w:tc>
          <w:tcPr>
            <w:tcW w:w="350" w:type="pct"/>
            <w:noWrap w:val="0"/>
            <w:vAlign w:val="center"/>
          </w:tcPr>
          <w:p w14:paraId="21EEFC7D">
            <w:pPr>
              <w:adjustRightInd w:val="0"/>
              <w:snapToGrid w:val="0"/>
              <w:jc w:val="center"/>
              <w:rPr>
                <w:rFonts w:hint="eastAsia" w:ascii="仿宋_GB2312" w:eastAsia="仿宋_GB2312"/>
                <w:color w:val="auto"/>
                <w:sz w:val="24"/>
              </w:rPr>
            </w:pPr>
          </w:p>
        </w:tc>
        <w:tc>
          <w:tcPr>
            <w:tcW w:w="623" w:type="pct"/>
            <w:noWrap w:val="0"/>
            <w:vAlign w:val="center"/>
          </w:tcPr>
          <w:p w14:paraId="41F975C5">
            <w:pPr>
              <w:adjustRightInd w:val="0"/>
              <w:snapToGrid w:val="0"/>
              <w:jc w:val="center"/>
              <w:rPr>
                <w:rFonts w:hint="eastAsia" w:ascii="仿宋_GB2312" w:eastAsia="仿宋_GB2312"/>
                <w:color w:val="auto"/>
                <w:sz w:val="24"/>
              </w:rPr>
            </w:pPr>
          </w:p>
        </w:tc>
        <w:tc>
          <w:tcPr>
            <w:tcW w:w="575" w:type="pct"/>
            <w:noWrap w:val="0"/>
            <w:vAlign w:val="center"/>
          </w:tcPr>
          <w:p w14:paraId="6A13CF95">
            <w:pPr>
              <w:adjustRightInd w:val="0"/>
              <w:snapToGrid w:val="0"/>
              <w:jc w:val="center"/>
              <w:rPr>
                <w:rFonts w:hint="eastAsia" w:ascii="仿宋_GB2312" w:eastAsia="仿宋_GB2312"/>
                <w:color w:val="auto"/>
                <w:sz w:val="24"/>
              </w:rPr>
            </w:pPr>
          </w:p>
        </w:tc>
        <w:tc>
          <w:tcPr>
            <w:tcW w:w="394" w:type="pct"/>
            <w:noWrap w:val="0"/>
            <w:vAlign w:val="center"/>
          </w:tcPr>
          <w:p w14:paraId="1402E487">
            <w:pPr>
              <w:adjustRightInd w:val="0"/>
              <w:snapToGrid w:val="0"/>
              <w:jc w:val="center"/>
              <w:rPr>
                <w:rFonts w:hint="eastAsia" w:ascii="仿宋_GB2312" w:eastAsia="仿宋_GB2312"/>
                <w:color w:val="auto"/>
                <w:sz w:val="24"/>
              </w:rPr>
            </w:pPr>
          </w:p>
        </w:tc>
        <w:tc>
          <w:tcPr>
            <w:tcW w:w="395" w:type="pct"/>
            <w:noWrap w:val="0"/>
            <w:vAlign w:val="center"/>
          </w:tcPr>
          <w:p w14:paraId="23A88F2E">
            <w:pPr>
              <w:adjustRightInd w:val="0"/>
              <w:snapToGrid w:val="0"/>
              <w:jc w:val="center"/>
              <w:rPr>
                <w:rFonts w:hint="eastAsia" w:ascii="仿宋_GB2312" w:eastAsia="仿宋_GB2312"/>
                <w:color w:val="auto"/>
                <w:sz w:val="24"/>
              </w:rPr>
            </w:pPr>
          </w:p>
        </w:tc>
      </w:tr>
      <w:tr w14:paraId="51C6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 w:type="pct"/>
            <w:noWrap w:val="0"/>
            <w:vAlign w:val="center"/>
          </w:tcPr>
          <w:p w14:paraId="05F9FC6F">
            <w:pPr>
              <w:adjustRightInd w:val="0"/>
              <w:snapToGrid w:val="0"/>
              <w:jc w:val="center"/>
              <w:rPr>
                <w:rFonts w:hint="eastAsia" w:ascii="仿宋_GB2312" w:eastAsia="仿宋_GB2312"/>
                <w:color w:val="auto"/>
                <w:sz w:val="24"/>
              </w:rPr>
            </w:pPr>
          </w:p>
        </w:tc>
        <w:tc>
          <w:tcPr>
            <w:tcW w:w="419" w:type="pct"/>
            <w:noWrap w:val="0"/>
            <w:vAlign w:val="center"/>
          </w:tcPr>
          <w:p w14:paraId="15A0C160">
            <w:pPr>
              <w:adjustRightInd w:val="0"/>
              <w:snapToGrid w:val="0"/>
              <w:jc w:val="center"/>
              <w:rPr>
                <w:rFonts w:hint="eastAsia" w:ascii="仿宋_GB2312" w:eastAsia="仿宋_GB2312"/>
                <w:color w:val="auto"/>
                <w:sz w:val="24"/>
              </w:rPr>
            </w:pPr>
          </w:p>
        </w:tc>
        <w:tc>
          <w:tcPr>
            <w:tcW w:w="364" w:type="pct"/>
            <w:noWrap w:val="0"/>
            <w:vAlign w:val="center"/>
          </w:tcPr>
          <w:p w14:paraId="3436530D">
            <w:pPr>
              <w:adjustRightInd w:val="0"/>
              <w:snapToGrid w:val="0"/>
              <w:jc w:val="center"/>
              <w:rPr>
                <w:rFonts w:hint="eastAsia" w:ascii="仿宋_GB2312" w:eastAsia="仿宋_GB2312"/>
                <w:color w:val="auto"/>
                <w:sz w:val="24"/>
              </w:rPr>
            </w:pPr>
          </w:p>
        </w:tc>
        <w:tc>
          <w:tcPr>
            <w:tcW w:w="406" w:type="pct"/>
            <w:noWrap w:val="0"/>
            <w:vAlign w:val="center"/>
          </w:tcPr>
          <w:p w14:paraId="4D625448">
            <w:pPr>
              <w:adjustRightInd w:val="0"/>
              <w:snapToGrid w:val="0"/>
              <w:jc w:val="center"/>
              <w:rPr>
                <w:rFonts w:hint="eastAsia" w:ascii="仿宋_GB2312" w:eastAsia="仿宋_GB2312"/>
                <w:color w:val="auto"/>
                <w:sz w:val="24"/>
              </w:rPr>
            </w:pPr>
          </w:p>
        </w:tc>
        <w:tc>
          <w:tcPr>
            <w:tcW w:w="397" w:type="pct"/>
            <w:noWrap w:val="0"/>
            <w:vAlign w:val="center"/>
          </w:tcPr>
          <w:p w14:paraId="678C37CC">
            <w:pPr>
              <w:adjustRightInd w:val="0"/>
              <w:snapToGrid w:val="0"/>
              <w:jc w:val="center"/>
              <w:rPr>
                <w:rFonts w:hint="eastAsia" w:ascii="仿宋_GB2312" w:eastAsia="仿宋_GB2312"/>
                <w:color w:val="auto"/>
                <w:sz w:val="24"/>
              </w:rPr>
            </w:pPr>
          </w:p>
        </w:tc>
        <w:tc>
          <w:tcPr>
            <w:tcW w:w="355" w:type="pct"/>
            <w:noWrap w:val="0"/>
            <w:vAlign w:val="top"/>
          </w:tcPr>
          <w:p w14:paraId="24D1F270">
            <w:pPr>
              <w:adjustRightInd w:val="0"/>
              <w:snapToGrid w:val="0"/>
              <w:jc w:val="center"/>
              <w:rPr>
                <w:rFonts w:hint="eastAsia" w:ascii="仿宋_GB2312" w:eastAsia="仿宋_GB2312"/>
                <w:color w:val="auto"/>
                <w:sz w:val="24"/>
              </w:rPr>
            </w:pPr>
          </w:p>
        </w:tc>
        <w:tc>
          <w:tcPr>
            <w:tcW w:w="465" w:type="pct"/>
            <w:noWrap w:val="0"/>
            <w:vAlign w:val="center"/>
          </w:tcPr>
          <w:p w14:paraId="148696C8">
            <w:pPr>
              <w:adjustRightInd w:val="0"/>
              <w:snapToGrid w:val="0"/>
              <w:jc w:val="center"/>
              <w:rPr>
                <w:rFonts w:hint="eastAsia" w:ascii="仿宋_GB2312" w:eastAsia="仿宋_GB2312"/>
                <w:color w:val="auto"/>
                <w:sz w:val="24"/>
              </w:rPr>
            </w:pPr>
          </w:p>
        </w:tc>
        <w:tc>
          <w:tcPr>
            <w:tcW w:w="350" w:type="pct"/>
            <w:noWrap w:val="0"/>
            <w:vAlign w:val="center"/>
          </w:tcPr>
          <w:p w14:paraId="1A29171F">
            <w:pPr>
              <w:adjustRightInd w:val="0"/>
              <w:snapToGrid w:val="0"/>
              <w:jc w:val="center"/>
              <w:rPr>
                <w:rFonts w:hint="eastAsia" w:ascii="仿宋_GB2312" w:eastAsia="仿宋_GB2312"/>
                <w:color w:val="auto"/>
                <w:sz w:val="24"/>
              </w:rPr>
            </w:pPr>
          </w:p>
        </w:tc>
        <w:tc>
          <w:tcPr>
            <w:tcW w:w="623" w:type="pct"/>
            <w:noWrap w:val="0"/>
            <w:vAlign w:val="center"/>
          </w:tcPr>
          <w:p w14:paraId="603C4FD9">
            <w:pPr>
              <w:adjustRightInd w:val="0"/>
              <w:snapToGrid w:val="0"/>
              <w:jc w:val="center"/>
              <w:rPr>
                <w:rFonts w:hint="eastAsia" w:ascii="仿宋_GB2312" w:eastAsia="仿宋_GB2312"/>
                <w:color w:val="auto"/>
                <w:sz w:val="24"/>
              </w:rPr>
            </w:pPr>
          </w:p>
        </w:tc>
        <w:tc>
          <w:tcPr>
            <w:tcW w:w="575" w:type="pct"/>
            <w:noWrap w:val="0"/>
            <w:vAlign w:val="center"/>
          </w:tcPr>
          <w:p w14:paraId="302C298F">
            <w:pPr>
              <w:adjustRightInd w:val="0"/>
              <w:snapToGrid w:val="0"/>
              <w:jc w:val="center"/>
              <w:rPr>
                <w:rFonts w:hint="eastAsia" w:ascii="仿宋_GB2312" w:eastAsia="仿宋_GB2312"/>
                <w:color w:val="auto"/>
                <w:sz w:val="24"/>
              </w:rPr>
            </w:pPr>
          </w:p>
        </w:tc>
        <w:tc>
          <w:tcPr>
            <w:tcW w:w="394" w:type="pct"/>
            <w:noWrap w:val="0"/>
            <w:vAlign w:val="center"/>
          </w:tcPr>
          <w:p w14:paraId="1429E035">
            <w:pPr>
              <w:adjustRightInd w:val="0"/>
              <w:snapToGrid w:val="0"/>
              <w:jc w:val="center"/>
              <w:rPr>
                <w:rFonts w:hint="eastAsia" w:ascii="仿宋_GB2312" w:eastAsia="仿宋_GB2312"/>
                <w:color w:val="auto"/>
                <w:sz w:val="24"/>
              </w:rPr>
            </w:pPr>
          </w:p>
        </w:tc>
        <w:tc>
          <w:tcPr>
            <w:tcW w:w="395" w:type="pct"/>
            <w:noWrap w:val="0"/>
            <w:vAlign w:val="center"/>
          </w:tcPr>
          <w:p w14:paraId="45BA2A5E">
            <w:pPr>
              <w:adjustRightInd w:val="0"/>
              <w:snapToGrid w:val="0"/>
              <w:jc w:val="center"/>
              <w:rPr>
                <w:rFonts w:hint="eastAsia" w:ascii="仿宋_GB2312" w:eastAsia="仿宋_GB2312"/>
                <w:color w:val="auto"/>
                <w:sz w:val="24"/>
              </w:rPr>
            </w:pPr>
          </w:p>
        </w:tc>
      </w:tr>
      <w:tr w14:paraId="5CF0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 w:type="pct"/>
            <w:noWrap w:val="0"/>
            <w:vAlign w:val="center"/>
          </w:tcPr>
          <w:p w14:paraId="3FED353A">
            <w:pPr>
              <w:adjustRightInd w:val="0"/>
              <w:snapToGrid w:val="0"/>
              <w:jc w:val="center"/>
              <w:rPr>
                <w:rFonts w:hint="eastAsia" w:ascii="仿宋_GB2312" w:eastAsia="仿宋_GB2312"/>
                <w:color w:val="auto"/>
                <w:sz w:val="24"/>
              </w:rPr>
            </w:pPr>
          </w:p>
        </w:tc>
        <w:tc>
          <w:tcPr>
            <w:tcW w:w="419" w:type="pct"/>
            <w:noWrap w:val="0"/>
            <w:vAlign w:val="center"/>
          </w:tcPr>
          <w:p w14:paraId="78569EC8">
            <w:pPr>
              <w:adjustRightInd w:val="0"/>
              <w:snapToGrid w:val="0"/>
              <w:jc w:val="center"/>
              <w:rPr>
                <w:rFonts w:hint="eastAsia" w:ascii="仿宋_GB2312" w:eastAsia="仿宋_GB2312"/>
                <w:color w:val="auto"/>
                <w:sz w:val="24"/>
              </w:rPr>
            </w:pPr>
          </w:p>
        </w:tc>
        <w:tc>
          <w:tcPr>
            <w:tcW w:w="364" w:type="pct"/>
            <w:noWrap w:val="0"/>
            <w:vAlign w:val="center"/>
          </w:tcPr>
          <w:p w14:paraId="13A3DD1A">
            <w:pPr>
              <w:adjustRightInd w:val="0"/>
              <w:snapToGrid w:val="0"/>
              <w:jc w:val="center"/>
              <w:rPr>
                <w:rFonts w:hint="eastAsia" w:ascii="仿宋_GB2312" w:eastAsia="仿宋_GB2312"/>
                <w:color w:val="auto"/>
                <w:sz w:val="24"/>
              </w:rPr>
            </w:pPr>
          </w:p>
        </w:tc>
        <w:tc>
          <w:tcPr>
            <w:tcW w:w="406" w:type="pct"/>
            <w:noWrap w:val="0"/>
            <w:vAlign w:val="center"/>
          </w:tcPr>
          <w:p w14:paraId="14B9154D">
            <w:pPr>
              <w:adjustRightInd w:val="0"/>
              <w:snapToGrid w:val="0"/>
              <w:jc w:val="center"/>
              <w:rPr>
                <w:rFonts w:hint="eastAsia" w:ascii="仿宋_GB2312" w:eastAsia="仿宋_GB2312"/>
                <w:color w:val="auto"/>
                <w:sz w:val="24"/>
              </w:rPr>
            </w:pPr>
          </w:p>
        </w:tc>
        <w:tc>
          <w:tcPr>
            <w:tcW w:w="397" w:type="pct"/>
            <w:noWrap w:val="0"/>
            <w:vAlign w:val="center"/>
          </w:tcPr>
          <w:p w14:paraId="42A64875">
            <w:pPr>
              <w:adjustRightInd w:val="0"/>
              <w:snapToGrid w:val="0"/>
              <w:jc w:val="center"/>
              <w:rPr>
                <w:rFonts w:hint="eastAsia" w:ascii="仿宋_GB2312" w:eastAsia="仿宋_GB2312"/>
                <w:color w:val="auto"/>
                <w:sz w:val="24"/>
              </w:rPr>
            </w:pPr>
          </w:p>
        </w:tc>
        <w:tc>
          <w:tcPr>
            <w:tcW w:w="355" w:type="pct"/>
            <w:noWrap w:val="0"/>
            <w:vAlign w:val="top"/>
          </w:tcPr>
          <w:p w14:paraId="720805AE">
            <w:pPr>
              <w:adjustRightInd w:val="0"/>
              <w:snapToGrid w:val="0"/>
              <w:jc w:val="center"/>
              <w:rPr>
                <w:rFonts w:hint="eastAsia" w:ascii="仿宋_GB2312" w:eastAsia="仿宋_GB2312"/>
                <w:color w:val="auto"/>
                <w:sz w:val="24"/>
              </w:rPr>
            </w:pPr>
          </w:p>
        </w:tc>
        <w:tc>
          <w:tcPr>
            <w:tcW w:w="465" w:type="pct"/>
            <w:noWrap w:val="0"/>
            <w:vAlign w:val="center"/>
          </w:tcPr>
          <w:p w14:paraId="5FE2DC6A">
            <w:pPr>
              <w:adjustRightInd w:val="0"/>
              <w:snapToGrid w:val="0"/>
              <w:jc w:val="center"/>
              <w:rPr>
                <w:rFonts w:hint="eastAsia" w:ascii="仿宋_GB2312" w:eastAsia="仿宋_GB2312"/>
                <w:color w:val="auto"/>
                <w:sz w:val="24"/>
              </w:rPr>
            </w:pPr>
          </w:p>
        </w:tc>
        <w:tc>
          <w:tcPr>
            <w:tcW w:w="350" w:type="pct"/>
            <w:noWrap w:val="0"/>
            <w:vAlign w:val="center"/>
          </w:tcPr>
          <w:p w14:paraId="7B13C71B">
            <w:pPr>
              <w:adjustRightInd w:val="0"/>
              <w:snapToGrid w:val="0"/>
              <w:jc w:val="center"/>
              <w:rPr>
                <w:rFonts w:hint="eastAsia" w:ascii="仿宋_GB2312" w:eastAsia="仿宋_GB2312"/>
                <w:color w:val="auto"/>
                <w:sz w:val="24"/>
              </w:rPr>
            </w:pPr>
          </w:p>
        </w:tc>
        <w:tc>
          <w:tcPr>
            <w:tcW w:w="623" w:type="pct"/>
            <w:noWrap w:val="0"/>
            <w:vAlign w:val="center"/>
          </w:tcPr>
          <w:p w14:paraId="13D6BE07">
            <w:pPr>
              <w:adjustRightInd w:val="0"/>
              <w:snapToGrid w:val="0"/>
              <w:jc w:val="center"/>
              <w:rPr>
                <w:rFonts w:hint="eastAsia" w:ascii="仿宋_GB2312" w:eastAsia="仿宋_GB2312"/>
                <w:color w:val="auto"/>
                <w:sz w:val="24"/>
              </w:rPr>
            </w:pPr>
          </w:p>
        </w:tc>
        <w:tc>
          <w:tcPr>
            <w:tcW w:w="575" w:type="pct"/>
            <w:noWrap w:val="0"/>
            <w:vAlign w:val="center"/>
          </w:tcPr>
          <w:p w14:paraId="024B023D">
            <w:pPr>
              <w:adjustRightInd w:val="0"/>
              <w:snapToGrid w:val="0"/>
              <w:jc w:val="center"/>
              <w:rPr>
                <w:rFonts w:hint="eastAsia" w:ascii="仿宋_GB2312" w:eastAsia="仿宋_GB2312"/>
                <w:color w:val="auto"/>
                <w:sz w:val="24"/>
              </w:rPr>
            </w:pPr>
          </w:p>
        </w:tc>
        <w:tc>
          <w:tcPr>
            <w:tcW w:w="394" w:type="pct"/>
            <w:noWrap w:val="0"/>
            <w:vAlign w:val="center"/>
          </w:tcPr>
          <w:p w14:paraId="41619896">
            <w:pPr>
              <w:adjustRightInd w:val="0"/>
              <w:snapToGrid w:val="0"/>
              <w:jc w:val="center"/>
              <w:rPr>
                <w:rFonts w:hint="eastAsia" w:ascii="仿宋_GB2312" w:eastAsia="仿宋_GB2312"/>
                <w:color w:val="auto"/>
                <w:sz w:val="24"/>
              </w:rPr>
            </w:pPr>
          </w:p>
        </w:tc>
        <w:tc>
          <w:tcPr>
            <w:tcW w:w="395" w:type="pct"/>
            <w:noWrap w:val="0"/>
            <w:vAlign w:val="center"/>
          </w:tcPr>
          <w:p w14:paraId="659937EB">
            <w:pPr>
              <w:adjustRightInd w:val="0"/>
              <w:snapToGrid w:val="0"/>
              <w:jc w:val="center"/>
              <w:rPr>
                <w:rFonts w:hint="eastAsia" w:ascii="仿宋_GB2312" w:eastAsia="仿宋_GB2312"/>
                <w:color w:val="auto"/>
                <w:sz w:val="24"/>
              </w:rPr>
            </w:pPr>
          </w:p>
        </w:tc>
      </w:tr>
      <w:tr w14:paraId="2B4D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 w:type="pct"/>
            <w:noWrap w:val="0"/>
            <w:vAlign w:val="center"/>
          </w:tcPr>
          <w:p w14:paraId="7215E36D">
            <w:pPr>
              <w:adjustRightInd w:val="0"/>
              <w:snapToGrid w:val="0"/>
              <w:jc w:val="center"/>
              <w:rPr>
                <w:rFonts w:hint="eastAsia" w:ascii="仿宋_GB2312" w:eastAsia="仿宋_GB2312"/>
                <w:color w:val="auto"/>
                <w:sz w:val="24"/>
              </w:rPr>
            </w:pPr>
          </w:p>
        </w:tc>
        <w:tc>
          <w:tcPr>
            <w:tcW w:w="419" w:type="pct"/>
            <w:noWrap w:val="0"/>
            <w:vAlign w:val="center"/>
          </w:tcPr>
          <w:p w14:paraId="45EDAD23">
            <w:pPr>
              <w:adjustRightInd w:val="0"/>
              <w:snapToGrid w:val="0"/>
              <w:jc w:val="center"/>
              <w:rPr>
                <w:rFonts w:hint="eastAsia" w:ascii="仿宋_GB2312" w:eastAsia="仿宋_GB2312"/>
                <w:color w:val="auto"/>
                <w:sz w:val="24"/>
              </w:rPr>
            </w:pPr>
          </w:p>
        </w:tc>
        <w:tc>
          <w:tcPr>
            <w:tcW w:w="364" w:type="pct"/>
            <w:noWrap w:val="0"/>
            <w:vAlign w:val="center"/>
          </w:tcPr>
          <w:p w14:paraId="454F1D16">
            <w:pPr>
              <w:adjustRightInd w:val="0"/>
              <w:snapToGrid w:val="0"/>
              <w:jc w:val="center"/>
              <w:rPr>
                <w:rFonts w:hint="eastAsia" w:ascii="仿宋_GB2312" w:eastAsia="仿宋_GB2312"/>
                <w:color w:val="auto"/>
                <w:sz w:val="24"/>
              </w:rPr>
            </w:pPr>
          </w:p>
        </w:tc>
        <w:tc>
          <w:tcPr>
            <w:tcW w:w="406" w:type="pct"/>
            <w:noWrap w:val="0"/>
            <w:vAlign w:val="center"/>
          </w:tcPr>
          <w:p w14:paraId="2130A550">
            <w:pPr>
              <w:adjustRightInd w:val="0"/>
              <w:snapToGrid w:val="0"/>
              <w:jc w:val="center"/>
              <w:rPr>
                <w:rFonts w:hint="eastAsia" w:ascii="仿宋_GB2312" w:eastAsia="仿宋_GB2312"/>
                <w:color w:val="auto"/>
                <w:sz w:val="24"/>
              </w:rPr>
            </w:pPr>
          </w:p>
        </w:tc>
        <w:tc>
          <w:tcPr>
            <w:tcW w:w="397" w:type="pct"/>
            <w:noWrap w:val="0"/>
            <w:vAlign w:val="center"/>
          </w:tcPr>
          <w:p w14:paraId="28B27F57">
            <w:pPr>
              <w:adjustRightInd w:val="0"/>
              <w:snapToGrid w:val="0"/>
              <w:jc w:val="center"/>
              <w:rPr>
                <w:rFonts w:hint="eastAsia" w:ascii="仿宋_GB2312" w:eastAsia="仿宋_GB2312"/>
                <w:color w:val="auto"/>
                <w:sz w:val="24"/>
              </w:rPr>
            </w:pPr>
          </w:p>
        </w:tc>
        <w:tc>
          <w:tcPr>
            <w:tcW w:w="355" w:type="pct"/>
            <w:noWrap w:val="0"/>
            <w:vAlign w:val="top"/>
          </w:tcPr>
          <w:p w14:paraId="0AF9870D">
            <w:pPr>
              <w:adjustRightInd w:val="0"/>
              <w:snapToGrid w:val="0"/>
              <w:jc w:val="center"/>
              <w:rPr>
                <w:rFonts w:hint="eastAsia" w:ascii="仿宋_GB2312" w:eastAsia="仿宋_GB2312"/>
                <w:color w:val="auto"/>
                <w:sz w:val="24"/>
              </w:rPr>
            </w:pPr>
          </w:p>
        </w:tc>
        <w:tc>
          <w:tcPr>
            <w:tcW w:w="465" w:type="pct"/>
            <w:noWrap w:val="0"/>
            <w:vAlign w:val="center"/>
          </w:tcPr>
          <w:p w14:paraId="099C03D7">
            <w:pPr>
              <w:adjustRightInd w:val="0"/>
              <w:snapToGrid w:val="0"/>
              <w:jc w:val="center"/>
              <w:rPr>
                <w:rFonts w:hint="eastAsia" w:ascii="仿宋_GB2312" w:eastAsia="仿宋_GB2312"/>
                <w:color w:val="auto"/>
                <w:sz w:val="24"/>
              </w:rPr>
            </w:pPr>
          </w:p>
        </w:tc>
        <w:tc>
          <w:tcPr>
            <w:tcW w:w="350" w:type="pct"/>
            <w:noWrap w:val="0"/>
            <w:vAlign w:val="center"/>
          </w:tcPr>
          <w:p w14:paraId="46FDC92C">
            <w:pPr>
              <w:adjustRightInd w:val="0"/>
              <w:snapToGrid w:val="0"/>
              <w:jc w:val="center"/>
              <w:rPr>
                <w:rFonts w:hint="eastAsia" w:ascii="仿宋_GB2312" w:eastAsia="仿宋_GB2312"/>
                <w:color w:val="auto"/>
                <w:sz w:val="24"/>
              </w:rPr>
            </w:pPr>
          </w:p>
        </w:tc>
        <w:tc>
          <w:tcPr>
            <w:tcW w:w="623" w:type="pct"/>
            <w:noWrap w:val="0"/>
            <w:vAlign w:val="center"/>
          </w:tcPr>
          <w:p w14:paraId="1307786E">
            <w:pPr>
              <w:adjustRightInd w:val="0"/>
              <w:snapToGrid w:val="0"/>
              <w:jc w:val="center"/>
              <w:rPr>
                <w:rFonts w:hint="eastAsia" w:ascii="仿宋_GB2312" w:eastAsia="仿宋_GB2312"/>
                <w:color w:val="auto"/>
                <w:sz w:val="24"/>
              </w:rPr>
            </w:pPr>
          </w:p>
        </w:tc>
        <w:tc>
          <w:tcPr>
            <w:tcW w:w="575" w:type="pct"/>
            <w:noWrap w:val="0"/>
            <w:vAlign w:val="center"/>
          </w:tcPr>
          <w:p w14:paraId="0C307A9C">
            <w:pPr>
              <w:adjustRightInd w:val="0"/>
              <w:snapToGrid w:val="0"/>
              <w:jc w:val="center"/>
              <w:rPr>
                <w:rFonts w:hint="eastAsia" w:ascii="仿宋_GB2312" w:eastAsia="仿宋_GB2312"/>
                <w:color w:val="auto"/>
                <w:sz w:val="24"/>
              </w:rPr>
            </w:pPr>
          </w:p>
        </w:tc>
        <w:tc>
          <w:tcPr>
            <w:tcW w:w="394" w:type="pct"/>
            <w:noWrap w:val="0"/>
            <w:vAlign w:val="center"/>
          </w:tcPr>
          <w:p w14:paraId="61DD102C">
            <w:pPr>
              <w:adjustRightInd w:val="0"/>
              <w:snapToGrid w:val="0"/>
              <w:jc w:val="center"/>
              <w:rPr>
                <w:rFonts w:hint="eastAsia" w:ascii="仿宋_GB2312" w:eastAsia="仿宋_GB2312"/>
                <w:color w:val="auto"/>
                <w:sz w:val="24"/>
              </w:rPr>
            </w:pPr>
          </w:p>
        </w:tc>
        <w:tc>
          <w:tcPr>
            <w:tcW w:w="395" w:type="pct"/>
            <w:noWrap w:val="0"/>
            <w:vAlign w:val="center"/>
          </w:tcPr>
          <w:p w14:paraId="6229C7E2">
            <w:pPr>
              <w:adjustRightInd w:val="0"/>
              <w:snapToGrid w:val="0"/>
              <w:jc w:val="center"/>
              <w:rPr>
                <w:rFonts w:hint="eastAsia" w:ascii="仿宋_GB2312" w:eastAsia="仿宋_GB2312"/>
                <w:color w:val="auto"/>
                <w:sz w:val="24"/>
              </w:rPr>
            </w:pPr>
          </w:p>
        </w:tc>
      </w:tr>
      <w:tr w14:paraId="19A8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 w:type="pct"/>
            <w:noWrap w:val="0"/>
            <w:vAlign w:val="center"/>
          </w:tcPr>
          <w:p w14:paraId="08D87A3A">
            <w:pPr>
              <w:adjustRightInd w:val="0"/>
              <w:snapToGrid w:val="0"/>
              <w:jc w:val="center"/>
              <w:rPr>
                <w:rFonts w:hint="eastAsia" w:ascii="仿宋_GB2312" w:eastAsia="仿宋_GB2312"/>
                <w:color w:val="auto"/>
                <w:sz w:val="24"/>
              </w:rPr>
            </w:pPr>
          </w:p>
        </w:tc>
        <w:tc>
          <w:tcPr>
            <w:tcW w:w="419" w:type="pct"/>
            <w:noWrap w:val="0"/>
            <w:vAlign w:val="center"/>
          </w:tcPr>
          <w:p w14:paraId="1A525192">
            <w:pPr>
              <w:adjustRightInd w:val="0"/>
              <w:snapToGrid w:val="0"/>
              <w:jc w:val="center"/>
              <w:rPr>
                <w:rFonts w:hint="eastAsia" w:ascii="仿宋_GB2312" w:eastAsia="仿宋_GB2312"/>
                <w:color w:val="auto"/>
                <w:sz w:val="24"/>
              </w:rPr>
            </w:pPr>
          </w:p>
        </w:tc>
        <w:tc>
          <w:tcPr>
            <w:tcW w:w="364" w:type="pct"/>
            <w:noWrap w:val="0"/>
            <w:vAlign w:val="center"/>
          </w:tcPr>
          <w:p w14:paraId="2C03240A">
            <w:pPr>
              <w:adjustRightInd w:val="0"/>
              <w:snapToGrid w:val="0"/>
              <w:jc w:val="center"/>
              <w:rPr>
                <w:rFonts w:hint="eastAsia" w:ascii="仿宋_GB2312" w:eastAsia="仿宋_GB2312"/>
                <w:color w:val="auto"/>
                <w:sz w:val="24"/>
              </w:rPr>
            </w:pPr>
          </w:p>
        </w:tc>
        <w:tc>
          <w:tcPr>
            <w:tcW w:w="406" w:type="pct"/>
            <w:noWrap w:val="0"/>
            <w:vAlign w:val="center"/>
          </w:tcPr>
          <w:p w14:paraId="3384BC52">
            <w:pPr>
              <w:adjustRightInd w:val="0"/>
              <w:snapToGrid w:val="0"/>
              <w:jc w:val="center"/>
              <w:rPr>
                <w:rFonts w:hint="eastAsia" w:ascii="仿宋_GB2312" w:eastAsia="仿宋_GB2312"/>
                <w:color w:val="auto"/>
                <w:sz w:val="24"/>
              </w:rPr>
            </w:pPr>
          </w:p>
        </w:tc>
        <w:tc>
          <w:tcPr>
            <w:tcW w:w="397" w:type="pct"/>
            <w:noWrap w:val="0"/>
            <w:vAlign w:val="center"/>
          </w:tcPr>
          <w:p w14:paraId="4873A261">
            <w:pPr>
              <w:adjustRightInd w:val="0"/>
              <w:snapToGrid w:val="0"/>
              <w:jc w:val="center"/>
              <w:rPr>
                <w:rFonts w:hint="eastAsia" w:ascii="仿宋_GB2312" w:eastAsia="仿宋_GB2312"/>
                <w:color w:val="auto"/>
                <w:sz w:val="24"/>
              </w:rPr>
            </w:pPr>
          </w:p>
        </w:tc>
        <w:tc>
          <w:tcPr>
            <w:tcW w:w="355" w:type="pct"/>
            <w:noWrap w:val="0"/>
            <w:vAlign w:val="top"/>
          </w:tcPr>
          <w:p w14:paraId="7999318C">
            <w:pPr>
              <w:adjustRightInd w:val="0"/>
              <w:snapToGrid w:val="0"/>
              <w:jc w:val="center"/>
              <w:rPr>
                <w:rFonts w:hint="eastAsia" w:ascii="仿宋_GB2312" w:eastAsia="仿宋_GB2312"/>
                <w:color w:val="auto"/>
                <w:sz w:val="24"/>
              </w:rPr>
            </w:pPr>
          </w:p>
        </w:tc>
        <w:tc>
          <w:tcPr>
            <w:tcW w:w="465" w:type="pct"/>
            <w:noWrap w:val="0"/>
            <w:vAlign w:val="center"/>
          </w:tcPr>
          <w:p w14:paraId="786E2F9E">
            <w:pPr>
              <w:adjustRightInd w:val="0"/>
              <w:snapToGrid w:val="0"/>
              <w:jc w:val="center"/>
              <w:rPr>
                <w:rFonts w:hint="eastAsia" w:ascii="仿宋_GB2312" w:eastAsia="仿宋_GB2312"/>
                <w:color w:val="auto"/>
                <w:sz w:val="24"/>
              </w:rPr>
            </w:pPr>
          </w:p>
        </w:tc>
        <w:tc>
          <w:tcPr>
            <w:tcW w:w="350" w:type="pct"/>
            <w:noWrap w:val="0"/>
            <w:vAlign w:val="center"/>
          </w:tcPr>
          <w:p w14:paraId="11CE5B24">
            <w:pPr>
              <w:adjustRightInd w:val="0"/>
              <w:snapToGrid w:val="0"/>
              <w:jc w:val="center"/>
              <w:rPr>
                <w:rFonts w:hint="eastAsia" w:ascii="仿宋_GB2312" w:eastAsia="仿宋_GB2312"/>
                <w:color w:val="auto"/>
                <w:sz w:val="24"/>
              </w:rPr>
            </w:pPr>
          </w:p>
        </w:tc>
        <w:tc>
          <w:tcPr>
            <w:tcW w:w="623" w:type="pct"/>
            <w:noWrap w:val="0"/>
            <w:vAlign w:val="center"/>
          </w:tcPr>
          <w:p w14:paraId="2C494657">
            <w:pPr>
              <w:adjustRightInd w:val="0"/>
              <w:snapToGrid w:val="0"/>
              <w:jc w:val="center"/>
              <w:rPr>
                <w:rFonts w:hint="eastAsia" w:ascii="仿宋_GB2312" w:eastAsia="仿宋_GB2312"/>
                <w:color w:val="auto"/>
                <w:sz w:val="24"/>
              </w:rPr>
            </w:pPr>
          </w:p>
        </w:tc>
        <w:tc>
          <w:tcPr>
            <w:tcW w:w="575" w:type="pct"/>
            <w:noWrap w:val="0"/>
            <w:vAlign w:val="center"/>
          </w:tcPr>
          <w:p w14:paraId="799EE3AB">
            <w:pPr>
              <w:adjustRightInd w:val="0"/>
              <w:snapToGrid w:val="0"/>
              <w:jc w:val="center"/>
              <w:rPr>
                <w:rFonts w:hint="eastAsia" w:ascii="仿宋_GB2312" w:eastAsia="仿宋_GB2312"/>
                <w:color w:val="auto"/>
                <w:sz w:val="24"/>
              </w:rPr>
            </w:pPr>
          </w:p>
        </w:tc>
        <w:tc>
          <w:tcPr>
            <w:tcW w:w="394" w:type="pct"/>
            <w:noWrap w:val="0"/>
            <w:vAlign w:val="center"/>
          </w:tcPr>
          <w:p w14:paraId="0DBFE6BF">
            <w:pPr>
              <w:adjustRightInd w:val="0"/>
              <w:snapToGrid w:val="0"/>
              <w:jc w:val="center"/>
              <w:rPr>
                <w:rFonts w:hint="eastAsia" w:ascii="仿宋_GB2312" w:eastAsia="仿宋_GB2312"/>
                <w:color w:val="auto"/>
                <w:sz w:val="24"/>
              </w:rPr>
            </w:pPr>
          </w:p>
        </w:tc>
        <w:tc>
          <w:tcPr>
            <w:tcW w:w="395" w:type="pct"/>
            <w:noWrap w:val="0"/>
            <w:vAlign w:val="center"/>
          </w:tcPr>
          <w:p w14:paraId="431A5A17">
            <w:pPr>
              <w:adjustRightInd w:val="0"/>
              <w:snapToGrid w:val="0"/>
              <w:jc w:val="center"/>
              <w:rPr>
                <w:rFonts w:hint="eastAsia" w:ascii="仿宋_GB2312" w:eastAsia="仿宋_GB2312"/>
                <w:color w:val="auto"/>
                <w:sz w:val="24"/>
              </w:rPr>
            </w:pPr>
          </w:p>
        </w:tc>
      </w:tr>
      <w:tr w14:paraId="4D55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 w:type="pct"/>
            <w:noWrap w:val="0"/>
            <w:vAlign w:val="center"/>
          </w:tcPr>
          <w:p w14:paraId="3AF1E28E">
            <w:pPr>
              <w:adjustRightInd w:val="0"/>
              <w:snapToGrid w:val="0"/>
              <w:jc w:val="center"/>
              <w:rPr>
                <w:rFonts w:hint="eastAsia" w:ascii="仿宋_GB2312" w:eastAsia="仿宋_GB2312"/>
                <w:color w:val="auto"/>
                <w:sz w:val="24"/>
              </w:rPr>
            </w:pPr>
          </w:p>
        </w:tc>
        <w:tc>
          <w:tcPr>
            <w:tcW w:w="419" w:type="pct"/>
            <w:noWrap w:val="0"/>
            <w:vAlign w:val="center"/>
          </w:tcPr>
          <w:p w14:paraId="5B6F6D02">
            <w:pPr>
              <w:adjustRightInd w:val="0"/>
              <w:snapToGrid w:val="0"/>
              <w:jc w:val="center"/>
              <w:rPr>
                <w:rFonts w:hint="eastAsia" w:ascii="仿宋_GB2312" w:eastAsia="仿宋_GB2312"/>
                <w:color w:val="auto"/>
                <w:sz w:val="24"/>
              </w:rPr>
            </w:pPr>
          </w:p>
        </w:tc>
        <w:tc>
          <w:tcPr>
            <w:tcW w:w="364" w:type="pct"/>
            <w:noWrap w:val="0"/>
            <w:vAlign w:val="center"/>
          </w:tcPr>
          <w:p w14:paraId="77857042">
            <w:pPr>
              <w:adjustRightInd w:val="0"/>
              <w:snapToGrid w:val="0"/>
              <w:jc w:val="center"/>
              <w:rPr>
                <w:rFonts w:hint="eastAsia" w:ascii="仿宋_GB2312" w:eastAsia="仿宋_GB2312"/>
                <w:color w:val="auto"/>
                <w:sz w:val="24"/>
              </w:rPr>
            </w:pPr>
          </w:p>
        </w:tc>
        <w:tc>
          <w:tcPr>
            <w:tcW w:w="406" w:type="pct"/>
            <w:noWrap w:val="0"/>
            <w:vAlign w:val="center"/>
          </w:tcPr>
          <w:p w14:paraId="0EDCF84A">
            <w:pPr>
              <w:adjustRightInd w:val="0"/>
              <w:snapToGrid w:val="0"/>
              <w:jc w:val="center"/>
              <w:rPr>
                <w:rFonts w:hint="eastAsia" w:ascii="仿宋_GB2312" w:eastAsia="仿宋_GB2312"/>
                <w:color w:val="auto"/>
                <w:sz w:val="24"/>
              </w:rPr>
            </w:pPr>
          </w:p>
        </w:tc>
        <w:tc>
          <w:tcPr>
            <w:tcW w:w="397" w:type="pct"/>
            <w:noWrap w:val="0"/>
            <w:vAlign w:val="center"/>
          </w:tcPr>
          <w:p w14:paraId="4B2C1AAC">
            <w:pPr>
              <w:adjustRightInd w:val="0"/>
              <w:snapToGrid w:val="0"/>
              <w:jc w:val="center"/>
              <w:rPr>
                <w:rFonts w:hint="eastAsia" w:ascii="仿宋_GB2312" w:eastAsia="仿宋_GB2312"/>
                <w:color w:val="auto"/>
                <w:sz w:val="24"/>
              </w:rPr>
            </w:pPr>
          </w:p>
        </w:tc>
        <w:tc>
          <w:tcPr>
            <w:tcW w:w="355" w:type="pct"/>
            <w:noWrap w:val="0"/>
            <w:vAlign w:val="top"/>
          </w:tcPr>
          <w:p w14:paraId="76AE18B3">
            <w:pPr>
              <w:adjustRightInd w:val="0"/>
              <w:snapToGrid w:val="0"/>
              <w:jc w:val="center"/>
              <w:rPr>
                <w:rFonts w:hint="eastAsia" w:ascii="仿宋_GB2312" w:eastAsia="仿宋_GB2312"/>
                <w:color w:val="auto"/>
                <w:sz w:val="24"/>
              </w:rPr>
            </w:pPr>
          </w:p>
        </w:tc>
        <w:tc>
          <w:tcPr>
            <w:tcW w:w="465" w:type="pct"/>
            <w:noWrap w:val="0"/>
            <w:vAlign w:val="center"/>
          </w:tcPr>
          <w:p w14:paraId="2F80EE88">
            <w:pPr>
              <w:adjustRightInd w:val="0"/>
              <w:snapToGrid w:val="0"/>
              <w:jc w:val="center"/>
              <w:rPr>
                <w:rFonts w:hint="eastAsia" w:ascii="仿宋_GB2312" w:eastAsia="仿宋_GB2312"/>
                <w:color w:val="auto"/>
                <w:sz w:val="24"/>
              </w:rPr>
            </w:pPr>
          </w:p>
        </w:tc>
        <w:tc>
          <w:tcPr>
            <w:tcW w:w="350" w:type="pct"/>
            <w:noWrap w:val="0"/>
            <w:vAlign w:val="center"/>
          </w:tcPr>
          <w:p w14:paraId="0931935B">
            <w:pPr>
              <w:adjustRightInd w:val="0"/>
              <w:snapToGrid w:val="0"/>
              <w:jc w:val="center"/>
              <w:rPr>
                <w:rFonts w:hint="eastAsia" w:ascii="仿宋_GB2312" w:eastAsia="仿宋_GB2312"/>
                <w:color w:val="auto"/>
                <w:sz w:val="24"/>
              </w:rPr>
            </w:pPr>
          </w:p>
        </w:tc>
        <w:tc>
          <w:tcPr>
            <w:tcW w:w="623" w:type="pct"/>
            <w:noWrap w:val="0"/>
            <w:vAlign w:val="center"/>
          </w:tcPr>
          <w:p w14:paraId="09DA3372">
            <w:pPr>
              <w:adjustRightInd w:val="0"/>
              <w:snapToGrid w:val="0"/>
              <w:jc w:val="center"/>
              <w:rPr>
                <w:rFonts w:hint="eastAsia" w:ascii="仿宋_GB2312" w:eastAsia="仿宋_GB2312"/>
                <w:color w:val="auto"/>
                <w:sz w:val="24"/>
              </w:rPr>
            </w:pPr>
          </w:p>
        </w:tc>
        <w:tc>
          <w:tcPr>
            <w:tcW w:w="575" w:type="pct"/>
            <w:noWrap w:val="0"/>
            <w:vAlign w:val="center"/>
          </w:tcPr>
          <w:p w14:paraId="22BAB1D0">
            <w:pPr>
              <w:adjustRightInd w:val="0"/>
              <w:snapToGrid w:val="0"/>
              <w:jc w:val="center"/>
              <w:rPr>
                <w:rFonts w:hint="eastAsia" w:ascii="仿宋_GB2312" w:eastAsia="仿宋_GB2312"/>
                <w:color w:val="auto"/>
                <w:sz w:val="24"/>
              </w:rPr>
            </w:pPr>
          </w:p>
        </w:tc>
        <w:tc>
          <w:tcPr>
            <w:tcW w:w="394" w:type="pct"/>
            <w:noWrap w:val="0"/>
            <w:vAlign w:val="center"/>
          </w:tcPr>
          <w:p w14:paraId="6EB0B13B">
            <w:pPr>
              <w:adjustRightInd w:val="0"/>
              <w:snapToGrid w:val="0"/>
              <w:jc w:val="center"/>
              <w:rPr>
                <w:rFonts w:hint="eastAsia" w:ascii="仿宋_GB2312" w:eastAsia="仿宋_GB2312"/>
                <w:color w:val="auto"/>
                <w:sz w:val="24"/>
              </w:rPr>
            </w:pPr>
          </w:p>
        </w:tc>
        <w:tc>
          <w:tcPr>
            <w:tcW w:w="395" w:type="pct"/>
            <w:noWrap w:val="0"/>
            <w:vAlign w:val="center"/>
          </w:tcPr>
          <w:p w14:paraId="39A64AA5">
            <w:pPr>
              <w:adjustRightInd w:val="0"/>
              <w:snapToGrid w:val="0"/>
              <w:jc w:val="center"/>
              <w:rPr>
                <w:rFonts w:hint="eastAsia" w:ascii="仿宋_GB2312" w:eastAsia="仿宋_GB2312"/>
                <w:color w:val="auto"/>
                <w:sz w:val="24"/>
              </w:rPr>
            </w:pPr>
          </w:p>
        </w:tc>
      </w:tr>
      <w:tr w14:paraId="5F9C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 w:type="pct"/>
            <w:noWrap w:val="0"/>
            <w:vAlign w:val="center"/>
          </w:tcPr>
          <w:p w14:paraId="73F25AB2">
            <w:pPr>
              <w:adjustRightInd w:val="0"/>
              <w:snapToGrid w:val="0"/>
              <w:jc w:val="center"/>
              <w:rPr>
                <w:rFonts w:hint="eastAsia" w:ascii="仿宋_GB2312" w:eastAsia="仿宋_GB2312"/>
                <w:color w:val="auto"/>
                <w:sz w:val="24"/>
              </w:rPr>
            </w:pPr>
          </w:p>
        </w:tc>
        <w:tc>
          <w:tcPr>
            <w:tcW w:w="419" w:type="pct"/>
            <w:noWrap w:val="0"/>
            <w:vAlign w:val="center"/>
          </w:tcPr>
          <w:p w14:paraId="39085B0C">
            <w:pPr>
              <w:adjustRightInd w:val="0"/>
              <w:snapToGrid w:val="0"/>
              <w:jc w:val="center"/>
              <w:rPr>
                <w:rFonts w:hint="eastAsia" w:ascii="仿宋_GB2312" w:eastAsia="仿宋_GB2312"/>
                <w:color w:val="auto"/>
                <w:sz w:val="24"/>
              </w:rPr>
            </w:pPr>
          </w:p>
        </w:tc>
        <w:tc>
          <w:tcPr>
            <w:tcW w:w="364" w:type="pct"/>
            <w:noWrap w:val="0"/>
            <w:vAlign w:val="center"/>
          </w:tcPr>
          <w:p w14:paraId="7E37A101">
            <w:pPr>
              <w:adjustRightInd w:val="0"/>
              <w:snapToGrid w:val="0"/>
              <w:jc w:val="center"/>
              <w:rPr>
                <w:rFonts w:hint="eastAsia" w:ascii="仿宋_GB2312" w:eastAsia="仿宋_GB2312"/>
                <w:color w:val="auto"/>
                <w:sz w:val="24"/>
              </w:rPr>
            </w:pPr>
          </w:p>
        </w:tc>
        <w:tc>
          <w:tcPr>
            <w:tcW w:w="406" w:type="pct"/>
            <w:noWrap w:val="0"/>
            <w:vAlign w:val="center"/>
          </w:tcPr>
          <w:p w14:paraId="3D111310">
            <w:pPr>
              <w:adjustRightInd w:val="0"/>
              <w:snapToGrid w:val="0"/>
              <w:jc w:val="center"/>
              <w:rPr>
                <w:rFonts w:hint="eastAsia" w:ascii="仿宋_GB2312" w:eastAsia="仿宋_GB2312"/>
                <w:color w:val="auto"/>
                <w:sz w:val="24"/>
              </w:rPr>
            </w:pPr>
          </w:p>
        </w:tc>
        <w:tc>
          <w:tcPr>
            <w:tcW w:w="397" w:type="pct"/>
            <w:noWrap w:val="0"/>
            <w:vAlign w:val="center"/>
          </w:tcPr>
          <w:p w14:paraId="54689588">
            <w:pPr>
              <w:adjustRightInd w:val="0"/>
              <w:snapToGrid w:val="0"/>
              <w:jc w:val="center"/>
              <w:rPr>
                <w:rFonts w:hint="eastAsia" w:ascii="仿宋_GB2312" w:eastAsia="仿宋_GB2312"/>
                <w:color w:val="auto"/>
                <w:sz w:val="24"/>
              </w:rPr>
            </w:pPr>
          </w:p>
        </w:tc>
        <w:tc>
          <w:tcPr>
            <w:tcW w:w="355" w:type="pct"/>
            <w:noWrap w:val="0"/>
            <w:vAlign w:val="top"/>
          </w:tcPr>
          <w:p w14:paraId="73A59F11">
            <w:pPr>
              <w:adjustRightInd w:val="0"/>
              <w:snapToGrid w:val="0"/>
              <w:jc w:val="center"/>
              <w:rPr>
                <w:rFonts w:hint="eastAsia" w:ascii="仿宋_GB2312" w:eastAsia="仿宋_GB2312"/>
                <w:color w:val="auto"/>
                <w:sz w:val="24"/>
              </w:rPr>
            </w:pPr>
          </w:p>
        </w:tc>
        <w:tc>
          <w:tcPr>
            <w:tcW w:w="465" w:type="pct"/>
            <w:noWrap w:val="0"/>
            <w:vAlign w:val="center"/>
          </w:tcPr>
          <w:p w14:paraId="6C519D82">
            <w:pPr>
              <w:adjustRightInd w:val="0"/>
              <w:snapToGrid w:val="0"/>
              <w:jc w:val="center"/>
              <w:rPr>
                <w:rFonts w:hint="eastAsia" w:ascii="仿宋_GB2312" w:eastAsia="仿宋_GB2312"/>
                <w:color w:val="auto"/>
                <w:sz w:val="24"/>
              </w:rPr>
            </w:pPr>
          </w:p>
        </w:tc>
        <w:tc>
          <w:tcPr>
            <w:tcW w:w="350" w:type="pct"/>
            <w:noWrap w:val="0"/>
            <w:vAlign w:val="center"/>
          </w:tcPr>
          <w:p w14:paraId="690F489C">
            <w:pPr>
              <w:adjustRightInd w:val="0"/>
              <w:snapToGrid w:val="0"/>
              <w:jc w:val="center"/>
              <w:rPr>
                <w:rFonts w:hint="eastAsia" w:ascii="仿宋_GB2312" w:eastAsia="仿宋_GB2312"/>
                <w:color w:val="auto"/>
                <w:sz w:val="24"/>
              </w:rPr>
            </w:pPr>
          </w:p>
        </w:tc>
        <w:tc>
          <w:tcPr>
            <w:tcW w:w="623" w:type="pct"/>
            <w:noWrap w:val="0"/>
            <w:vAlign w:val="center"/>
          </w:tcPr>
          <w:p w14:paraId="091EF6E4">
            <w:pPr>
              <w:adjustRightInd w:val="0"/>
              <w:snapToGrid w:val="0"/>
              <w:jc w:val="center"/>
              <w:rPr>
                <w:rFonts w:hint="eastAsia" w:ascii="仿宋_GB2312" w:eastAsia="仿宋_GB2312"/>
                <w:color w:val="auto"/>
                <w:sz w:val="24"/>
              </w:rPr>
            </w:pPr>
          </w:p>
        </w:tc>
        <w:tc>
          <w:tcPr>
            <w:tcW w:w="575" w:type="pct"/>
            <w:noWrap w:val="0"/>
            <w:vAlign w:val="center"/>
          </w:tcPr>
          <w:p w14:paraId="547F8BD8">
            <w:pPr>
              <w:adjustRightInd w:val="0"/>
              <w:snapToGrid w:val="0"/>
              <w:jc w:val="center"/>
              <w:rPr>
                <w:rFonts w:hint="eastAsia" w:ascii="仿宋_GB2312" w:eastAsia="仿宋_GB2312"/>
                <w:color w:val="auto"/>
                <w:sz w:val="24"/>
              </w:rPr>
            </w:pPr>
          </w:p>
        </w:tc>
        <w:tc>
          <w:tcPr>
            <w:tcW w:w="394" w:type="pct"/>
            <w:noWrap w:val="0"/>
            <w:vAlign w:val="center"/>
          </w:tcPr>
          <w:p w14:paraId="5DAFF983">
            <w:pPr>
              <w:adjustRightInd w:val="0"/>
              <w:snapToGrid w:val="0"/>
              <w:jc w:val="center"/>
              <w:rPr>
                <w:rFonts w:hint="eastAsia" w:ascii="仿宋_GB2312" w:eastAsia="仿宋_GB2312"/>
                <w:color w:val="auto"/>
                <w:sz w:val="24"/>
              </w:rPr>
            </w:pPr>
          </w:p>
        </w:tc>
        <w:tc>
          <w:tcPr>
            <w:tcW w:w="395" w:type="pct"/>
            <w:noWrap w:val="0"/>
            <w:vAlign w:val="center"/>
          </w:tcPr>
          <w:p w14:paraId="2B42F28E">
            <w:pPr>
              <w:adjustRightInd w:val="0"/>
              <w:snapToGrid w:val="0"/>
              <w:jc w:val="center"/>
              <w:rPr>
                <w:rFonts w:hint="eastAsia" w:ascii="仿宋_GB2312" w:eastAsia="仿宋_GB2312"/>
                <w:color w:val="auto"/>
                <w:sz w:val="24"/>
              </w:rPr>
            </w:pPr>
          </w:p>
        </w:tc>
      </w:tr>
      <w:tr w14:paraId="5B44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 w:type="pct"/>
            <w:noWrap w:val="0"/>
            <w:vAlign w:val="center"/>
          </w:tcPr>
          <w:p w14:paraId="1196873C">
            <w:pPr>
              <w:adjustRightInd w:val="0"/>
              <w:snapToGrid w:val="0"/>
              <w:jc w:val="center"/>
              <w:rPr>
                <w:rFonts w:hint="eastAsia" w:ascii="仿宋_GB2312" w:eastAsia="仿宋_GB2312"/>
                <w:color w:val="auto"/>
                <w:sz w:val="24"/>
              </w:rPr>
            </w:pPr>
          </w:p>
        </w:tc>
        <w:tc>
          <w:tcPr>
            <w:tcW w:w="419" w:type="pct"/>
            <w:noWrap w:val="0"/>
            <w:vAlign w:val="center"/>
          </w:tcPr>
          <w:p w14:paraId="20183802">
            <w:pPr>
              <w:adjustRightInd w:val="0"/>
              <w:snapToGrid w:val="0"/>
              <w:jc w:val="center"/>
              <w:rPr>
                <w:rFonts w:hint="eastAsia" w:ascii="仿宋_GB2312" w:eastAsia="仿宋_GB2312"/>
                <w:color w:val="auto"/>
                <w:sz w:val="28"/>
              </w:rPr>
            </w:pPr>
          </w:p>
        </w:tc>
        <w:tc>
          <w:tcPr>
            <w:tcW w:w="364" w:type="pct"/>
            <w:noWrap w:val="0"/>
            <w:vAlign w:val="center"/>
          </w:tcPr>
          <w:p w14:paraId="0A7DB39F">
            <w:pPr>
              <w:adjustRightInd w:val="0"/>
              <w:snapToGrid w:val="0"/>
              <w:jc w:val="center"/>
              <w:rPr>
                <w:rFonts w:hint="eastAsia" w:ascii="仿宋_GB2312" w:eastAsia="仿宋_GB2312"/>
                <w:color w:val="auto"/>
                <w:sz w:val="24"/>
              </w:rPr>
            </w:pPr>
          </w:p>
        </w:tc>
        <w:tc>
          <w:tcPr>
            <w:tcW w:w="406" w:type="pct"/>
            <w:noWrap w:val="0"/>
            <w:vAlign w:val="center"/>
          </w:tcPr>
          <w:p w14:paraId="3E504C39">
            <w:pPr>
              <w:adjustRightInd w:val="0"/>
              <w:snapToGrid w:val="0"/>
              <w:jc w:val="center"/>
              <w:rPr>
                <w:rFonts w:hint="eastAsia" w:ascii="仿宋_GB2312" w:eastAsia="仿宋_GB2312"/>
                <w:color w:val="auto"/>
                <w:sz w:val="24"/>
              </w:rPr>
            </w:pPr>
          </w:p>
        </w:tc>
        <w:tc>
          <w:tcPr>
            <w:tcW w:w="397" w:type="pct"/>
            <w:noWrap w:val="0"/>
            <w:vAlign w:val="center"/>
          </w:tcPr>
          <w:p w14:paraId="35F05698">
            <w:pPr>
              <w:adjustRightInd w:val="0"/>
              <w:snapToGrid w:val="0"/>
              <w:jc w:val="center"/>
              <w:rPr>
                <w:rFonts w:hint="eastAsia" w:ascii="仿宋_GB2312" w:eastAsia="仿宋_GB2312"/>
                <w:color w:val="auto"/>
                <w:sz w:val="24"/>
              </w:rPr>
            </w:pPr>
          </w:p>
        </w:tc>
        <w:tc>
          <w:tcPr>
            <w:tcW w:w="355" w:type="pct"/>
            <w:noWrap w:val="0"/>
            <w:vAlign w:val="top"/>
          </w:tcPr>
          <w:p w14:paraId="4AACCBF4">
            <w:pPr>
              <w:adjustRightInd w:val="0"/>
              <w:snapToGrid w:val="0"/>
              <w:jc w:val="center"/>
              <w:rPr>
                <w:rFonts w:hint="eastAsia" w:ascii="仿宋_GB2312" w:eastAsia="仿宋_GB2312"/>
                <w:color w:val="auto"/>
                <w:sz w:val="24"/>
              </w:rPr>
            </w:pPr>
          </w:p>
        </w:tc>
        <w:tc>
          <w:tcPr>
            <w:tcW w:w="465" w:type="pct"/>
            <w:noWrap w:val="0"/>
            <w:vAlign w:val="center"/>
          </w:tcPr>
          <w:p w14:paraId="55CD776B">
            <w:pPr>
              <w:adjustRightInd w:val="0"/>
              <w:snapToGrid w:val="0"/>
              <w:jc w:val="center"/>
              <w:rPr>
                <w:rFonts w:hint="eastAsia" w:ascii="仿宋_GB2312" w:eastAsia="仿宋_GB2312"/>
                <w:color w:val="auto"/>
                <w:sz w:val="24"/>
              </w:rPr>
            </w:pPr>
          </w:p>
        </w:tc>
        <w:tc>
          <w:tcPr>
            <w:tcW w:w="350" w:type="pct"/>
            <w:noWrap w:val="0"/>
            <w:vAlign w:val="center"/>
          </w:tcPr>
          <w:p w14:paraId="0CCED8DB">
            <w:pPr>
              <w:adjustRightInd w:val="0"/>
              <w:snapToGrid w:val="0"/>
              <w:jc w:val="center"/>
              <w:rPr>
                <w:rFonts w:hint="eastAsia" w:ascii="仿宋_GB2312" w:eastAsia="仿宋_GB2312"/>
                <w:color w:val="auto"/>
                <w:sz w:val="24"/>
              </w:rPr>
            </w:pPr>
          </w:p>
        </w:tc>
        <w:tc>
          <w:tcPr>
            <w:tcW w:w="623" w:type="pct"/>
            <w:noWrap w:val="0"/>
            <w:vAlign w:val="center"/>
          </w:tcPr>
          <w:p w14:paraId="76351C95">
            <w:pPr>
              <w:adjustRightInd w:val="0"/>
              <w:snapToGrid w:val="0"/>
              <w:jc w:val="center"/>
              <w:rPr>
                <w:rFonts w:hint="eastAsia" w:ascii="仿宋_GB2312" w:eastAsia="仿宋_GB2312"/>
                <w:color w:val="auto"/>
                <w:sz w:val="24"/>
              </w:rPr>
            </w:pPr>
          </w:p>
        </w:tc>
        <w:tc>
          <w:tcPr>
            <w:tcW w:w="575" w:type="pct"/>
            <w:noWrap w:val="0"/>
            <w:vAlign w:val="center"/>
          </w:tcPr>
          <w:p w14:paraId="1693458F">
            <w:pPr>
              <w:adjustRightInd w:val="0"/>
              <w:snapToGrid w:val="0"/>
              <w:jc w:val="center"/>
              <w:rPr>
                <w:rFonts w:hint="eastAsia" w:ascii="仿宋_GB2312" w:eastAsia="仿宋_GB2312"/>
                <w:color w:val="auto"/>
                <w:sz w:val="24"/>
              </w:rPr>
            </w:pPr>
          </w:p>
        </w:tc>
        <w:tc>
          <w:tcPr>
            <w:tcW w:w="394" w:type="pct"/>
            <w:noWrap w:val="0"/>
            <w:vAlign w:val="center"/>
          </w:tcPr>
          <w:p w14:paraId="573A1324">
            <w:pPr>
              <w:adjustRightInd w:val="0"/>
              <w:snapToGrid w:val="0"/>
              <w:jc w:val="center"/>
              <w:rPr>
                <w:rFonts w:hint="eastAsia" w:ascii="仿宋_GB2312" w:eastAsia="仿宋_GB2312"/>
                <w:color w:val="auto"/>
                <w:sz w:val="24"/>
              </w:rPr>
            </w:pPr>
          </w:p>
        </w:tc>
        <w:tc>
          <w:tcPr>
            <w:tcW w:w="395" w:type="pct"/>
            <w:noWrap w:val="0"/>
            <w:vAlign w:val="center"/>
          </w:tcPr>
          <w:p w14:paraId="389F52EF">
            <w:pPr>
              <w:adjustRightInd w:val="0"/>
              <w:snapToGrid w:val="0"/>
              <w:jc w:val="center"/>
              <w:rPr>
                <w:rFonts w:hint="eastAsia" w:ascii="仿宋_GB2312" w:eastAsia="仿宋_GB2312"/>
                <w:color w:val="auto"/>
                <w:sz w:val="24"/>
              </w:rPr>
            </w:pPr>
          </w:p>
        </w:tc>
      </w:tr>
      <w:tr w14:paraId="61B9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 w:type="pct"/>
            <w:noWrap w:val="0"/>
            <w:vAlign w:val="center"/>
          </w:tcPr>
          <w:p w14:paraId="07BAC443">
            <w:pPr>
              <w:adjustRightInd w:val="0"/>
              <w:snapToGrid w:val="0"/>
              <w:jc w:val="center"/>
              <w:rPr>
                <w:rFonts w:hint="eastAsia" w:ascii="仿宋_GB2312" w:eastAsia="仿宋_GB2312"/>
                <w:color w:val="auto"/>
                <w:sz w:val="24"/>
              </w:rPr>
            </w:pPr>
          </w:p>
        </w:tc>
        <w:tc>
          <w:tcPr>
            <w:tcW w:w="419" w:type="pct"/>
            <w:noWrap w:val="0"/>
            <w:vAlign w:val="center"/>
          </w:tcPr>
          <w:p w14:paraId="25BFED93">
            <w:pPr>
              <w:adjustRightInd w:val="0"/>
              <w:snapToGrid w:val="0"/>
              <w:jc w:val="center"/>
              <w:rPr>
                <w:rFonts w:hint="eastAsia" w:ascii="仿宋_GB2312" w:eastAsia="仿宋_GB2312"/>
                <w:color w:val="auto"/>
                <w:sz w:val="28"/>
              </w:rPr>
            </w:pPr>
          </w:p>
        </w:tc>
        <w:tc>
          <w:tcPr>
            <w:tcW w:w="364" w:type="pct"/>
            <w:noWrap w:val="0"/>
            <w:vAlign w:val="center"/>
          </w:tcPr>
          <w:p w14:paraId="7ABDE3C7">
            <w:pPr>
              <w:adjustRightInd w:val="0"/>
              <w:snapToGrid w:val="0"/>
              <w:jc w:val="center"/>
              <w:rPr>
                <w:rFonts w:hint="eastAsia" w:ascii="仿宋_GB2312" w:eastAsia="仿宋_GB2312"/>
                <w:color w:val="auto"/>
                <w:sz w:val="24"/>
              </w:rPr>
            </w:pPr>
          </w:p>
        </w:tc>
        <w:tc>
          <w:tcPr>
            <w:tcW w:w="406" w:type="pct"/>
            <w:noWrap w:val="0"/>
            <w:vAlign w:val="center"/>
          </w:tcPr>
          <w:p w14:paraId="24CF13F6">
            <w:pPr>
              <w:adjustRightInd w:val="0"/>
              <w:snapToGrid w:val="0"/>
              <w:jc w:val="center"/>
              <w:rPr>
                <w:rFonts w:hint="eastAsia" w:ascii="仿宋_GB2312" w:eastAsia="仿宋_GB2312"/>
                <w:color w:val="auto"/>
                <w:sz w:val="24"/>
              </w:rPr>
            </w:pPr>
          </w:p>
        </w:tc>
        <w:tc>
          <w:tcPr>
            <w:tcW w:w="397" w:type="pct"/>
            <w:noWrap w:val="0"/>
            <w:vAlign w:val="center"/>
          </w:tcPr>
          <w:p w14:paraId="29FF4E19">
            <w:pPr>
              <w:adjustRightInd w:val="0"/>
              <w:snapToGrid w:val="0"/>
              <w:jc w:val="center"/>
              <w:rPr>
                <w:rFonts w:hint="eastAsia" w:ascii="仿宋_GB2312" w:eastAsia="仿宋_GB2312"/>
                <w:color w:val="auto"/>
                <w:sz w:val="24"/>
              </w:rPr>
            </w:pPr>
          </w:p>
        </w:tc>
        <w:tc>
          <w:tcPr>
            <w:tcW w:w="355" w:type="pct"/>
            <w:noWrap w:val="0"/>
            <w:vAlign w:val="top"/>
          </w:tcPr>
          <w:p w14:paraId="77F55C6D">
            <w:pPr>
              <w:adjustRightInd w:val="0"/>
              <w:snapToGrid w:val="0"/>
              <w:jc w:val="center"/>
              <w:rPr>
                <w:rFonts w:hint="eastAsia" w:ascii="仿宋_GB2312" w:eastAsia="仿宋_GB2312"/>
                <w:color w:val="auto"/>
                <w:sz w:val="24"/>
              </w:rPr>
            </w:pPr>
          </w:p>
        </w:tc>
        <w:tc>
          <w:tcPr>
            <w:tcW w:w="465" w:type="pct"/>
            <w:noWrap w:val="0"/>
            <w:vAlign w:val="center"/>
          </w:tcPr>
          <w:p w14:paraId="6AE3FEB2">
            <w:pPr>
              <w:adjustRightInd w:val="0"/>
              <w:snapToGrid w:val="0"/>
              <w:jc w:val="center"/>
              <w:rPr>
                <w:rFonts w:hint="eastAsia" w:ascii="仿宋_GB2312" w:eastAsia="仿宋_GB2312"/>
                <w:color w:val="auto"/>
                <w:sz w:val="24"/>
              </w:rPr>
            </w:pPr>
          </w:p>
        </w:tc>
        <w:tc>
          <w:tcPr>
            <w:tcW w:w="350" w:type="pct"/>
            <w:noWrap w:val="0"/>
            <w:vAlign w:val="center"/>
          </w:tcPr>
          <w:p w14:paraId="0E109E94">
            <w:pPr>
              <w:adjustRightInd w:val="0"/>
              <w:snapToGrid w:val="0"/>
              <w:jc w:val="center"/>
              <w:rPr>
                <w:rFonts w:hint="eastAsia" w:ascii="仿宋_GB2312" w:eastAsia="仿宋_GB2312"/>
                <w:color w:val="auto"/>
                <w:sz w:val="24"/>
              </w:rPr>
            </w:pPr>
          </w:p>
        </w:tc>
        <w:tc>
          <w:tcPr>
            <w:tcW w:w="623" w:type="pct"/>
            <w:noWrap w:val="0"/>
            <w:vAlign w:val="center"/>
          </w:tcPr>
          <w:p w14:paraId="560DA3E8">
            <w:pPr>
              <w:adjustRightInd w:val="0"/>
              <w:snapToGrid w:val="0"/>
              <w:jc w:val="center"/>
              <w:rPr>
                <w:rFonts w:hint="eastAsia" w:ascii="仿宋_GB2312" w:eastAsia="仿宋_GB2312"/>
                <w:color w:val="auto"/>
                <w:sz w:val="24"/>
              </w:rPr>
            </w:pPr>
          </w:p>
        </w:tc>
        <w:tc>
          <w:tcPr>
            <w:tcW w:w="575" w:type="pct"/>
            <w:noWrap w:val="0"/>
            <w:vAlign w:val="center"/>
          </w:tcPr>
          <w:p w14:paraId="7D837701">
            <w:pPr>
              <w:adjustRightInd w:val="0"/>
              <w:snapToGrid w:val="0"/>
              <w:jc w:val="center"/>
              <w:rPr>
                <w:rFonts w:hint="eastAsia" w:ascii="仿宋_GB2312" w:eastAsia="仿宋_GB2312"/>
                <w:color w:val="auto"/>
                <w:sz w:val="24"/>
              </w:rPr>
            </w:pPr>
          </w:p>
        </w:tc>
        <w:tc>
          <w:tcPr>
            <w:tcW w:w="394" w:type="pct"/>
            <w:noWrap w:val="0"/>
            <w:vAlign w:val="center"/>
          </w:tcPr>
          <w:p w14:paraId="62A6F1A0">
            <w:pPr>
              <w:adjustRightInd w:val="0"/>
              <w:snapToGrid w:val="0"/>
              <w:jc w:val="center"/>
              <w:rPr>
                <w:rFonts w:hint="eastAsia" w:ascii="仿宋_GB2312" w:eastAsia="仿宋_GB2312"/>
                <w:color w:val="auto"/>
                <w:sz w:val="24"/>
              </w:rPr>
            </w:pPr>
          </w:p>
        </w:tc>
        <w:tc>
          <w:tcPr>
            <w:tcW w:w="395" w:type="pct"/>
            <w:noWrap w:val="0"/>
            <w:vAlign w:val="center"/>
          </w:tcPr>
          <w:p w14:paraId="6108C60E">
            <w:pPr>
              <w:adjustRightInd w:val="0"/>
              <w:snapToGrid w:val="0"/>
              <w:jc w:val="center"/>
              <w:rPr>
                <w:rFonts w:hint="eastAsia" w:ascii="仿宋_GB2312" w:eastAsia="仿宋_GB2312"/>
                <w:color w:val="auto"/>
                <w:sz w:val="24"/>
              </w:rPr>
            </w:pPr>
          </w:p>
        </w:tc>
      </w:tr>
      <w:tr w14:paraId="27F5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 w:type="pct"/>
            <w:noWrap w:val="0"/>
            <w:vAlign w:val="center"/>
          </w:tcPr>
          <w:p w14:paraId="351A59DF">
            <w:pPr>
              <w:adjustRightInd w:val="0"/>
              <w:snapToGrid w:val="0"/>
              <w:jc w:val="center"/>
              <w:rPr>
                <w:rFonts w:hint="eastAsia" w:ascii="仿宋_GB2312" w:eastAsia="仿宋_GB2312"/>
                <w:color w:val="auto"/>
                <w:sz w:val="24"/>
              </w:rPr>
            </w:pPr>
          </w:p>
        </w:tc>
        <w:tc>
          <w:tcPr>
            <w:tcW w:w="419" w:type="pct"/>
            <w:noWrap w:val="0"/>
            <w:vAlign w:val="center"/>
          </w:tcPr>
          <w:p w14:paraId="0F62DF96">
            <w:pPr>
              <w:adjustRightInd w:val="0"/>
              <w:snapToGrid w:val="0"/>
              <w:jc w:val="center"/>
              <w:rPr>
                <w:rFonts w:hint="eastAsia" w:ascii="仿宋_GB2312" w:eastAsia="仿宋_GB2312"/>
                <w:color w:val="auto"/>
                <w:sz w:val="28"/>
              </w:rPr>
            </w:pPr>
          </w:p>
        </w:tc>
        <w:tc>
          <w:tcPr>
            <w:tcW w:w="364" w:type="pct"/>
            <w:noWrap w:val="0"/>
            <w:vAlign w:val="center"/>
          </w:tcPr>
          <w:p w14:paraId="66601F30">
            <w:pPr>
              <w:adjustRightInd w:val="0"/>
              <w:snapToGrid w:val="0"/>
              <w:jc w:val="center"/>
              <w:rPr>
                <w:rFonts w:hint="eastAsia" w:ascii="仿宋_GB2312" w:eastAsia="仿宋_GB2312"/>
                <w:color w:val="auto"/>
                <w:sz w:val="24"/>
              </w:rPr>
            </w:pPr>
          </w:p>
        </w:tc>
        <w:tc>
          <w:tcPr>
            <w:tcW w:w="406" w:type="pct"/>
            <w:noWrap w:val="0"/>
            <w:vAlign w:val="center"/>
          </w:tcPr>
          <w:p w14:paraId="5C156DFB">
            <w:pPr>
              <w:adjustRightInd w:val="0"/>
              <w:snapToGrid w:val="0"/>
              <w:jc w:val="center"/>
              <w:rPr>
                <w:rFonts w:hint="eastAsia" w:ascii="仿宋_GB2312" w:eastAsia="仿宋_GB2312"/>
                <w:color w:val="auto"/>
                <w:sz w:val="24"/>
              </w:rPr>
            </w:pPr>
          </w:p>
        </w:tc>
        <w:tc>
          <w:tcPr>
            <w:tcW w:w="397" w:type="pct"/>
            <w:noWrap w:val="0"/>
            <w:vAlign w:val="center"/>
          </w:tcPr>
          <w:p w14:paraId="4135EBB7">
            <w:pPr>
              <w:adjustRightInd w:val="0"/>
              <w:snapToGrid w:val="0"/>
              <w:jc w:val="center"/>
              <w:rPr>
                <w:rFonts w:hint="eastAsia" w:ascii="仿宋_GB2312" w:eastAsia="仿宋_GB2312"/>
                <w:color w:val="auto"/>
                <w:sz w:val="24"/>
              </w:rPr>
            </w:pPr>
          </w:p>
        </w:tc>
        <w:tc>
          <w:tcPr>
            <w:tcW w:w="355" w:type="pct"/>
            <w:noWrap w:val="0"/>
            <w:vAlign w:val="top"/>
          </w:tcPr>
          <w:p w14:paraId="6D1533AA">
            <w:pPr>
              <w:adjustRightInd w:val="0"/>
              <w:snapToGrid w:val="0"/>
              <w:jc w:val="center"/>
              <w:rPr>
                <w:rFonts w:hint="eastAsia" w:ascii="仿宋_GB2312" w:eastAsia="仿宋_GB2312"/>
                <w:color w:val="auto"/>
                <w:sz w:val="24"/>
              </w:rPr>
            </w:pPr>
          </w:p>
        </w:tc>
        <w:tc>
          <w:tcPr>
            <w:tcW w:w="465" w:type="pct"/>
            <w:noWrap w:val="0"/>
            <w:vAlign w:val="center"/>
          </w:tcPr>
          <w:p w14:paraId="6AD0A1D0">
            <w:pPr>
              <w:adjustRightInd w:val="0"/>
              <w:snapToGrid w:val="0"/>
              <w:jc w:val="center"/>
              <w:rPr>
                <w:rFonts w:hint="eastAsia" w:ascii="仿宋_GB2312" w:eastAsia="仿宋_GB2312"/>
                <w:color w:val="auto"/>
                <w:sz w:val="24"/>
              </w:rPr>
            </w:pPr>
          </w:p>
        </w:tc>
        <w:tc>
          <w:tcPr>
            <w:tcW w:w="350" w:type="pct"/>
            <w:noWrap w:val="0"/>
            <w:vAlign w:val="center"/>
          </w:tcPr>
          <w:p w14:paraId="4D530E1C">
            <w:pPr>
              <w:adjustRightInd w:val="0"/>
              <w:snapToGrid w:val="0"/>
              <w:jc w:val="center"/>
              <w:rPr>
                <w:rFonts w:hint="eastAsia" w:ascii="仿宋_GB2312" w:eastAsia="仿宋_GB2312"/>
                <w:color w:val="auto"/>
                <w:sz w:val="24"/>
              </w:rPr>
            </w:pPr>
          </w:p>
        </w:tc>
        <w:tc>
          <w:tcPr>
            <w:tcW w:w="623" w:type="pct"/>
            <w:noWrap w:val="0"/>
            <w:vAlign w:val="center"/>
          </w:tcPr>
          <w:p w14:paraId="51D1D84B">
            <w:pPr>
              <w:adjustRightInd w:val="0"/>
              <w:snapToGrid w:val="0"/>
              <w:jc w:val="center"/>
              <w:rPr>
                <w:rFonts w:hint="eastAsia" w:ascii="仿宋_GB2312" w:eastAsia="仿宋_GB2312"/>
                <w:color w:val="auto"/>
                <w:sz w:val="24"/>
              </w:rPr>
            </w:pPr>
          </w:p>
        </w:tc>
        <w:tc>
          <w:tcPr>
            <w:tcW w:w="575" w:type="pct"/>
            <w:noWrap w:val="0"/>
            <w:vAlign w:val="center"/>
          </w:tcPr>
          <w:p w14:paraId="6BEF7319">
            <w:pPr>
              <w:adjustRightInd w:val="0"/>
              <w:snapToGrid w:val="0"/>
              <w:jc w:val="center"/>
              <w:rPr>
                <w:rFonts w:hint="eastAsia" w:ascii="仿宋_GB2312" w:eastAsia="仿宋_GB2312"/>
                <w:color w:val="auto"/>
                <w:sz w:val="24"/>
              </w:rPr>
            </w:pPr>
          </w:p>
        </w:tc>
        <w:tc>
          <w:tcPr>
            <w:tcW w:w="394" w:type="pct"/>
            <w:noWrap w:val="0"/>
            <w:vAlign w:val="center"/>
          </w:tcPr>
          <w:p w14:paraId="3CCF7162">
            <w:pPr>
              <w:adjustRightInd w:val="0"/>
              <w:snapToGrid w:val="0"/>
              <w:jc w:val="center"/>
              <w:rPr>
                <w:rFonts w:hint="eastAsia" w:ascii="仿宋_GB2312" w:eastAsia="仿宋_GB2312"/>
                <w:color w:val="auto"/>
                <w:sz w:val="24"/>
              </w:rPr>
            </w:pPr>
          </w:p>
        </w:tc>
        <w:tc>
          <w:tcPr>
            <w:tcW w:w="395" w:type="pct"/>
            <w:noWrap w:val="0"/>
            <w:vAlign w:val="center"/>
          </w:tcPr>
          <w:p w14:paraId="084CF47E">
            <w:pPr>
              <w:adjustRightInd w:val="0"/>
              <w:snapToGrid w:val="0"/>
              <w:jc w:val="center"/>
              <w:rPr>
                <w:rFonts w:hint="eastAsia" w:ascii="仿宋_GB2312" w:eastAsia="仿宋_GB2312"/>
                <w:color w:val="auto"/>
                <w:sz w:val="24"/>
              </w:rPr>
            </w:pPr>
          </w:p>
        </w:tc>
      </w:tr>
      <w:tr w14:paraId="4A0B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 w:type="pct"/>
            <w:noWrap w:val="0"/>
            <w:vAlign w:val="center"/>
          </w:tcPr>
          <w:p w14:paraId="786C2D25">
            <w:pPr>
              <w:adjustRightInd w:val="0"/>
              <w:snapToGrid w:val="0"/>
              <w:jc w:val="center"/>
              <w:rPr>
                <w:rFonts w:hint="eastAsia" w:ascii="仿宋_GB2312" w:eastAsia="仿宋_GB2312"/>
                <w:color w:val="auto"/>
                <w:sz w:val="24"/>
              </w:rPr>
            </w:pPr>
          </w:p>
        </w:tc>
        <w:tc>
          <w:tcPr>
            <w:tcW w:w="419" w:type="pct"/>
            <w:noWrap w:val="0"/>
            <w:vAlign w:val="center"/>
          </w:tcPr>
          <w:p w14:paraId="20037187">
            <w:pPr>
              <w:adjustRightInd w:val="0"/>
              <w:snapToGrid w:val="0"/>
              <w:jc w:val="center"/>
              <w:rPr>
                <w:rFonts w:hint="eastAsia" w:ascii="仿宋_GB2312" w:eastAsia="仿宋_GB2312"/>
                <w:color w:val="auto"/>
                <w:sz w:val="28"/>
              </w:rPr>
            </w:pPr>
          </w:p>
        </w:tc>
        <w:tc>
          <w:tcPr>
            <w:tcW w:w="364" w:type="pct"/>
            <w:noWrap w:val="0"/>
            <w:vAlign w:val="center"/>
          </w:tcPr>
          <w:p w14:paraId="2392E3F6">
            <w:pPr>
              <w:adjustRightInd w:val="0"/>
              <w:snapToGrid w:val="0"/>
              <w:jc w:val="center"/>
              <w:rPr>
                <w:rFonts w:hint="eastAsia" w:ascii="仿宋_GB2312" w:eastAsia="仿宋_GB2312"/>
                <w:color w:val="auto"/>
                <w:sz w:val="24"/>
              </w:rPr>
            </w:pPr>
          </w:p>
        </w:tc>
        <w:tc>
          <w:tcPr>
            <w:tcW w:w="406" w:type="pct"/>
            <w:noWrap w:val="0"/>
            <w:vAlign w:val="center"/>
          </w:tcPr>
          <w:p w14:paraId="5131A207">
            <w:pPr>
              <w:adjustRightInd w:val="0"/>
              <w:snapToGrid w:val="0"/>
              <w:jc w:val="center"/>
              <w:rPr>
                <w:rFonts w:hint="eastAsia" w:ascii="仿宋_GB2312" w:eastAsia="仿宋_GB2312"/>
                <w:color w:val="auto"/>
                <w:sz w:val="24"/>
              </w:rPr>
            </w:pPr>
          </w:p>
        </w:tc>
        <w:tc>
          <w:tcPr>
            <w:tcW w:w="397" w:type="pct"/>
            <w:noWrap w:val="0"/>
            <w:vAlign w:val="center"/>
          </w:tcPr>
          <w:p w14:paraId="66B1ED94">
            <w:pPr>
              <w:adjustRightInd w:val="0"/>
              <w:snapToGrid w:val="0"/>
              <w:jc w:val="center"/>
              <w:rPr>
                <w:rFonts w:hint="eastAsia" w:ascii="仿宋_GB2312" w:eastAsia="仿宋_GB2312"/>
                <w:color w:val="auto"/>
                <w:sz w:val="24"/>
              </w:rPr>
            </w:pPr>
          </w:p>
        </w:tc>
        <w:tc>
          <w:tcPr>
            <w:tcW w:w="355" w:type="pct"/>
            <w:noWrap w:val="0"/>
            <w:vAlign w:val="top"/>
          </w:tcPr>
          <w:p w14:paraId="39D31CDC">
            <w:pPr>
              <w:adjustRightInd w:val="0"/>
              <w:snapToGrid w:val="0"/>
              <w:jc w:val="center"/>
              <w:rPr>
                <w:rFonts w:hint="eastAsia" w:ascii="仿宋_GB2312" w:eastAsia="仿宋_GB2312"/>
                <w:color w:val="auto"/>
                <w:sz w:val="24"/>
              </w:rPr>
            </w:pPr>
          </w:p>
        </w:tc>
        <w:tc>
          <w:tcPr>
            <w:tcW w:w="465" w:type="pct"/>
            <w:noWrap w:val="0"/>
            <w:vAlign w:val="center"/>
          </w:tcPr>
          <w:p w14:paraId="7F930BD3">
            <w:pPr>
              <w:adjustRightInd w:val="0"/>
              <w:snapToGrid w:val="0"/>
              <w:jc w:val="center"/>
              <w:rPr>
                <w:rFonts w:hint="eastAsia" w:ascii="仿宋_GB2312" w:eastAsia="仿宋_GB2312"/>
                <w:color w:val="auto"/>
                <w:sz w:val="24"/>
              </w:rPr>
            </w:pPr>
          </w:p>
        </w:tc>
        <w:tc>
          <w:tcPr>
            <w:tcW w:w="350" w:type="pct"/>
            <w:noWrap w:val="0"/>
            <w:vAlign w:val="center"/>
          </w:tcPr>
          <w:p w14:paraId="34CE92CF">
            <w:pPr>
              <w:adjustRightInd w:val="0"/>
              <w:snapToGrid w:val="0"/>
              <w:jc w:val="center"/>
              <w:rPr>
                <w:rFonts w:hint="eastAsia" w:ascii="仿宋_GB2312" w:eastAsia="仿宋_GB2312"/>
                <w:color w:val="auto"/>
                <w:sz w:val="24"/>
              </w:rPr>
            </w:pPr>
          </w:p>
        </w:tc>
        <w:tc>
          <w:tcPr>
            <w:tcW w:w="623" w:type="pct"/>
            <w:noWrap w:val="0"/>
            <w:vAlign w:val="center"/>
          </w:tcPr>
          <w:p w14:paraId="4A64AB10">
            <w:pPr>
              <w:adjustRightInd w:val="0"/>
              <w:snapToGrid w:val="0"/>
              <w:jc w:val="center"/>
              <w:rPr>
                <w:rFonts w:hint="eastAsia" w:ascii="仿宋_GB2312" w:eastAsia="仿宋_GB2312"/>
                <w:color w:val="auto"/>
                <w:sz w:val="24"/>
              </w:rPr>
            </w:pPr>
          </w:p>
        </w:tc>
        <w:tc>
          <w:tcPr>
            <w:tcW w:w="575" w:type="pct"/>
            <w:noWrap w:val="0"/>
            <w:vAlign w:val="center"/>
          </w:tcPr>
          <w:p w14:paraId="6BDB65A6">
            <w:pPr>
              <w:adjustRightInd w:val="0"/>
              <w:snapToGrid w:val="0"/>
              <w:jc w:val="center"/>
              <w:rPr>
                <w:rFonts w:hint="eastAsia" w:ascii="仿宋_GB2312" w:eastAsia="仿宋_GB2312"/>
                <w:color w:val="auto"/>
                <w:sz w:val="24"/>
              </w:rPr>
            </w:pPr>
          </w:p>
        </w:tc>
        <w:tc>
          <w:tcPr>
            <w:tcW w:w="394" w:type="pct"/>
            <w:noWrap w:val="0"/>
            <w:vAlign w:val="center"/>
          </w:tcPr>
          <w:p w14:paraId="320F27D1">
            <w:pPr>
              <w:adjustRightInd w:val="0"/>
              <w:snapToGrid w:val="0"/>
              <w:jc w:val="center"/>
              <w:rPr>
                <w:rFonts w:hint="eastAsia" w:ascii="仿宋_GB2312" w:eastAsia="仿宋_GB2312"/>
                <w:color w:val="auto"/>
                <w:sz w:val="24"/>
              </w:rPr>
            </w:pPr>
          </w:p>
        </w:tc>
        <w:tc>
          <w:tcPr>
            <w:tcW w:w="395" w:type="pct"/>
            <w:noWrap w:val="0"/>
            <w:vAlign w:val="center"/>
          </w:tcPr>
          <w:p w14:paraId="2D4FEB26">
            <w:pPr>
              <w:adjustRightInd w:val="0"/>
              <w:snapToGrid w:val="0"/>
              <w:jc w:val="center"/>
              <w:rPr>
                <w:rFonts w:hint="eastAsia" w:ascii="仿宋_GB2312" w:eastAsia="仿宋_GB2312"/>
                <w:color w:val="auto"/>
                <w:sz w:val="24"/>
              </w:rPr>
            </w:pPr>
          </w:p>
        </w:tc>
      </w:tr>
      <w:tr w14:paraId="03E1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 w:type="pct"/>
            <w:noWrap w:val="0"/>
            <w:vAlign w:val="center"/>
          </w:tcPr>
          <w:p w14:paraId="054427C0">
            <w:pPr>
              <w:adjustRightInd w:val="0"/>
              <w:snapToGrid w:val="0"/>
              <w:jc w:val="center"/>
              <w:rPr>
                <w:rFonts w:hint="eastAsia" w:ascii="仿宋_GB2312" w:eastAsia="仿宋_GB2312"/>
                <w:color w:val="auto"/>
                <w:sz w:val="24"/>
              </w:rPr>
            </w:pPr>
          </w:p>
        </w:tc>
        <w:tc>
          <w:tcPr>
            <w:tcW w:w="419" w:type="pct"/>
            <w:noWrap w:val="0"/>
            <w:vAlign w:val="center"/>
          </w:tcPr>
          <w:p w14:paraId="05BD9DE1">
            <w:pPr>
              <w:adjustRightInd w:val="0"/>
              <w:snapToGrid w:val="0"/>
              <w:jc w:val="center"/>
              <w:rPr>
                <w:rFonts w:hint="eastAsia" w:ascii="仿宋_GB2312" w:eastAsia="仿宋_GB2312"/>
                <w:color w:val="auto"/>
                <w:sz w:val="28"/>
              </w:rPr>
            </w:pPr>
          </w:p>
        </w:tc>
        <w:tc>
          <w:tcPr>
            <w:tcW w:w="364" w:type="pct"/>
            <w:noWrap w:val="0"/>
            <w:vAlign w:val="center"/>
          </w:tcPr>
          <w:p w14:paraId="49533F5E">
            <w:pPr>
              <w:adjustRightInd w:val="0"/>
              <w:snapToGrid w:val="0"/>
              <w:jc w:val="center"/>
              <w:rPr>
                <w:rFonts w:hint="eastAsia" w:ascii="仿宋_GB2312" w:eastAsia="仿宋_GB2312"/>
                <w:color w:val="auto"/>
                <w:sz w:val="24"/>
              </w:rPr>
            </w:pPr>
          </w:p>
        </w:tc>
        <w:tc>
          <w:tcPr>
            <w:tcW w:w="406" w:type="pct"/>
            <w:noWrap w:val="0"/>
            <w:vAlign w:val="center"/>
          </w:tcPr>
          <w:p w14:paraId="45246887">
            <w:pPr>
              <w:adjustRightInd w:val="0"/>
              <w:snapToGrid w:val="0"/>
              <w:jc w:val="center"/>
              <w:rPr>
                <w:rFonts w:hint="eastAsia" w:ascii="仿宋_GB2312" w:eastAsia="仿宋_GB2312"/>
                <w:color w:val="auto"/>
                <w:sz w:val="24"/>
              </w:rPr>
            </w:pPr>
          </w:p>
        </w:tc>
        <w:tc>
          <w:tcPr>
            <w:tcW w:w="397" w:type="pct"/>
            <w:noWrap w:val="0"/>
            <w:vAlign w:val="center"/>
          </w:tcPr>
          <w:p w14:paraId="27985986">
            <w:pPr>
              <w:adjustRightInd w:val="0"/>
              <w:snapToGrid w:val="0"/>
              <w:jc w:val="center"/>
              <w:rPr>
                <w:rFonts w:hint="eastAsia" w:ascii="仿宋_GB2312" w:eastAsia="仿宋_GB2312"/>
                <w:color w:val="auto"/>
                <w:sz w:val="24"/>
              </w:rPr>
            </w:pPr>
          </w:p>
        </w:tc>
        <w:tc>
          <w:tcPr>
            <w:tcW w:w="355" w:type="pct"/>
            <w:noWrap w:val="0"/>
            <w:vAlign w:val="top"/>
          </w:tcPr>
          <w:p w14:paraId="3A9AEE30">
            <w:pPr>
              <w:adjustRightInd w:val="0"/>
              <w:snapToGrid w:val="0"/>
              <w:jc w:val="center"/>
              <w:rPr>
                <w:rFonts w:hint="eastAsia" w:ascii="仿宋_GB2312" w:eastAsia="仿宋_GB2312"/>
                <w:color w:val="auto"/>
                <w:sz w:val="24"/>
              </w:rPr>
            </w:pPr>
          </w:p>
        </w:tc>
        <w:tc>
          <w:tcPr>
            <w:tcW w:w="465" w:type="pct"/>
            <w:noWrap w:val="0"/>
            <w:vAlign w:val="center"/>
          </w:tcPr>
          <w:p w14:paraId="0B23F421">
            <w:pPr>
              <w:adjustRightInd w:val="0"/>
              <w:snapToGrid w:val="0"/>
              <w:jc w:val="center"/>
              <w:rPr>
                <w:rFonts w:hint="eastAsia" w:ascii="仿宋_GB2312" w:eastAsia="仿宋_GB2312"/>
                <w:color w:val="auto"/>
                <w:sz w:val="24"/>
              </w:rPr>
            </w:pPr>
          </w:p>
        </w:tc>
        <w:tc>
          <w:tcPr>
            <w:tcW w:w="350" w:type="pct"/>
            <w:noWrap w:val="0"/>
            <w:vAlign w:val="center"/>
          </w:tcPr>
          <w:p w14:paraId="6AECF91A">
            <w:pPr>
              <w:adjustRightInd w:val="0"/>
              <w:snapToGrid w:val="0"/>
              <w:jc w:val="center"/>
              <w:rPr>
                <w:rFonts w:hint="eastAsia" w:ascii="仿宋_GB2312" w:eastAsia="仿宋_GB2312"/>
                <w:color w:val="auto"/>
                <w:sz w:val="24"/>
              </w:rPr>
            </w:pPr>
          </w:p>
        </w:tc>
        <w:tc>
          <w:tcPr>
            <w:tcW w:w="623" w:type="pct"/>
            <w:noWrap w:val="0"/>
            <w:vAlign w:val="center"/>
          </w:tcPr>
          <w:p w14:paraId="7EBF77A5">
            <w:pPr>
              <w:adjustRightInd w:val="0"/>
              <w:snapToGrid w:val="0"/>
              <w:jc w:val="center"/>
              <w:rPr>
                <w:rFonts w:hint="eastAsia" w:ascii="仿宋_GB2312" w:eastAsia="仿宋_GB2312"/>
                <w:color w:val="auto"/>
                <w:sz w:val="24"/>
              </w:rPr>
            </w:pPr>
          </w:p>
        </w:tc>
        <w:tc>
          <w:tcPr>
            <w:tcW w:w="575" w:type="pct"/>
            <w:noWrap w:val="0"/>
            <w:vAlign w:val="center"/>
          </w:tcPr>
          <w:p w14:paraId="200AD3E1">
            <w:pPr>
              <w:adjustRightInd w:val="0"/>
              <w:snapToGrid w:val="0"/>
              <w:jc w:val="center"/>
              <w:rPr>
                <w:rFonts w:hint="eastAsia" w:ascii="仿宋_GB2312" w:eastAsia="仿宋_GB2312"/>
                <w:color w:val="auto"/>
                <w:sz w:val="24"/>
              </w:rPr>
            </w:pPr>
          </w:p>
        </w:tc>
        <w:tc>
          <w:tcPr>
            <w:tcW w:w="394" w:type="pct"/>
            <w:noWrap w:val="0"/>
            <w:vAlign w:val="center"/>
          </w:tcPr>
          <w:p w14:paraId="03EEF68F">
            <w:pPr>
              <w:adjustRightInd w:val="0"/>
              <w:snapToGrid w:val="0"/>
              <w:jc w:val="center"/>
              <w:rPr>
                <w:rFonts w:hint="eastAsia" w:ascii="仿宋_GB2312" w:eastAsia="仿宋_GB2312"/>
                <w:color w:val="auto"/>
                <w:sz w:val="24"/>
              </w:rPr>
            </w:pPr>
          </w:p>
        </w:tc>
        <w:tc>
          <w:tcPr>
            <w:tcW w:w="395" w:type="pct"/>
            <w:noWrap w:val="0"/>
            <w:vAlign w:val="center"/>
          </w:tcPr>
          <w:p w14:paraId="7518E468">
            <w:pPr>
              <w:adjustRightInd w:val="0"/>
              <w:snapToGrid w:val="0"/>
              <w:jc w:val="center"/>
              <w:rPr>
                <w:rFonts w:hint="eastAsia" w:ascii="仿宋_GB2312" w:eastAsia="仿宋_GB2312"/>
                <w:color w:val="auto"/>
                <w:sz w:val="24"/>
              </w:rPr>
            </w:pPr>
          </w:p>
        </w:tc>
      </w:tr>
    </w:tbl>
    <w:p w14:paraId="10BACDE6">
      <w:pPr>
        <w:keepLines w:val="0"/>
        <w:snapToGrid w:val="0"/>
        <w:spacing w:before="0" w:beforeAutospacing="0" w:after="0" w:afterAutospacing="0" w:line="240" w:lineRule="auto"/>
        <w:jc w:val="left"/>
        <w:textAlignment w:val="baseline"/>
        <w:rPr>
          <w:b w:val="0"/>
          <w:i w:val="0"/>
          <w:caps w:val="0"/>
          <w:color w:val="auto"/>
          <w:spacing w:val="0"/>
          <w:w w:val="100"/>
          <w:sz w:val="20"/>
        </w:rPr>
      </w:pPr>
    </w:p>
    <w:p w14:paraId="4735DC2C">
      <w:pPr>
        <w:rPr>
          <w:color w:val="auto"/>
          <w:sz w:val="32"/>
          <w:szCs w:val="32"/>
        </w:rPr>
      </w:pPr>
    </w:p>
    <w:p w14:paraId="15559B6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3A4AC85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3A65B7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49CAB16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20CA0BA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1858D914">
      <w:pPr>
        <w:pStyle w:val="3"/>
        <w:bidi w:val="0"/>
        <w:jc w:val="center"/>
        <w:rPr>
          <w:rFonts w:hint="eastAsia" w:asciiTheme="minorEastAsia" w:hAnsiTheme="minorEastAsia" w:cstheme="minorEastAsia"/>
          <w:color w:val="auto"/>
          <w:kern w:val="0"/>
          <w:sz w:val="28"/>
          <w:szCs w:val="28"/>
          <w:highlight w:val="none"/>
        </w:rPr>
      </w:pPr>
      <w:bookmarkStart w:id="27" w:name="_Toc3445"/>
      <w:r>
        <w:rPr>
          <w:rFonts w:hint="eastAsia" w:ascii="Arial" w:hAnsi="Arial" w:eastAsia="黑体" w:cstheme="minorBidi"/>
          <w:b/>
          <w:color w:val="auto"/>
          <w:kern w:val="2"/>
          <w:sz w:val="36"/>
          <w:szCs w:val="36"/>
          <w:lang w:val="en-US" w:eastAsia="zh-CN" w:bidi="ar-SA"/>
        </w:rPr>
        <w:t>体育部教学质量监控制度</w:t>
      </w:r>
      <w:bookmarkEnd w:id="27"/>
    </w:p>
    <w:p w14:paraId="4FEAF1C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建立教学质量监测和保证体系是提高体育课教学部各课程教学质量的基本制度保障。因此，本部门按照学校相关文件并结合自身实际制定教学质量监控制度如下。</w:t>
      </w:r>
    </w:p>
    <w:p w14:paraId="47C2B436">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一、成立教学质量监控领导小组</w:t>
      </w:r>
    </w:p>
    <w:p w14:paraId="5ECB087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 xml:space="preserve">    组长：</w:t>
      </w:r>
      <w:r>
        <w:rPr>
          <w:rFonts w:hint="eastAsia" w:asciiTheme="minorEastAsia" w:hAnsiTheme="minorEastAsia" w:cstheme="minorEastAsia"/>
          <w:color w:val="auto"/>
          <w:kern w:val="0"/>
          <w:sz w:val="28"/>
          <w:szCs w:val="28"/>
          <w:highlight w:val="none"/>
          <w:lang w:val="en-US" w:eastAsia="zh-CN"/>
        </w:rPr>
        <w:t>体育副部主任</w:t>
      </w:r>
      <w:r>
        <w:rPr>
          <w:rFonts w:hint="eastAsia" w:asciiTheme="minorEastAsia" w:hAnsiTheme="minorEastAsia" w:cstheme="minorEastAsia"/>
          <w:color w:val="auto"/>
          <w:kern w:val="0"/>
          <w:sz w:val="28"/>
          <w:szCs w:val="28"/>
          <w:highlight w:val="none"/>
        </w:rPr>
        <w:t xml:space="preserve"> </w:t>
      </w:r>
      <w:r>
        <w:rPr>
          <w:rFonts w:hint="eastAsia" w:asciiTheme="minorEastAsia" w:hAnsiTheme="minorEastAsia" w:cstheme="minorEastAsia"/>
          <w:color w:val="auto"/>
          <w:kern w:val="0"/>
          <w:sz w:val="28"/>
          <w:szCs w:val="28"/>
          <w:highlight w:val="none"/>
          <w:lang w:eastAsia="zh-CN"/>
        </w:rPr>
        <w:t>（</w:t>
      </w:r>
      <w:r>
        <w:rPr>
          <w:rFonts w:hint="eastAsia" w:asciiTheme="minorEastAsia" w:hAnsiTheme="minorEastAsia" w:cstheme="minorEastAsia"/>
          <w:color w:val="auto"/>
          <w:kern w:val="0"/>
          <w:sz w:val="28"/>
          <w:szCs w:val="28"/>
          <w:highlight w:val="none"/>
          <w:lang w:val="en-US" w:eastAsia="zh-CN"/>
        </w:rPr>
        <w:t>主持工作）</w:t>
      </w:r>
      <w:r>
        <w:rPr>
          <w:rFonts w:hint="eastAsia" w:asciiTheme="minorEastAsia" w:hAnsiTheme="minorEastAsia" w:cstheme="minorEastAsia"/>
          <w:color w:val="auto"/>
          <w:kern w:val="0"/>
          <w:sz w:val="28"/>
          <w:szCs w:val="28"/>
          <w:highlight w:val="none"/>
        </w:rPr>
        <w:t xml:space="preserve">     </w:t>
      </w:r>
    </w:p>
    <w:p w14:paraId="1370CE2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 xml:space="preserve">    成员：</w:t>
      </w:r>
      <w:r>
        <w:rPr>
          <w:rFonts w:hint="eastAsia" w:asciiTheme="minorEastAsia" w:hAnsiTheme="minorEastAsia" w:cstheme="minorEastAsia"/>
          <w:color w:val="auto"/>
          <w:kern w:val="0"/>
          <w:sz w:val="28"/>
          <w:szCs w:val="28"/>
          <w:highlight w:val="none"/>
          <w:lang w:val="en-US" w:eastAsia="zh-CN"/>
        </w:rPr>
        <w:t>综合办主任</w:t>
      </w:r>
      <w:r>
        <w:rPr>
          <w:rFonts w:hint="eastAsia" w:asciiTheme="minorEastAsia" w:hAnsiTheme="minorEastAsia" w:cstheme="minorEastAsia"/>
          <w:color w:val="auto"/>
          <w:kern w:val="0"/>
          <w:sz w:val="28"/>
          <w:szCs w:val="28"/>
          <w:highlight w:val="none"/>
        </w:rPr>
        <w:t>、</w:t>
      </w:r>
      <w:r>
        <w:rPr>
          <w:rFonts w:hint="eastAsia" w:asciiTheme="minorEastAsia" w:hAnsiTheme="minorEastAsia" w:cstheme="minorEastAsia"/>
          <w:color w:val="auto"/>
          <w:kern w:val="0"/>
          <w:sz w:val="28"/>
          <w:szCs w:val="28"/>
          <w:highlight w:val="none"/>
          <w:lang w:val="en-US" w:eastAsia="zh-CN"/>
        </w:rPr>
        <w:t>教研室主任、督导</w:t>
      </w:r>
    </w:p>
    <w:p w14:paraId="1E25F7B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本领导小组负责对全部体育课教学部课程教学质量进行监控。部主任是教学质量的第一责任人，部教学秘书、教学督导和教研室主任具体主持教学质量监控工作。</w:t>
      </w:r>
    </w:p>
    <w:p w14:paraId="44751571">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二、实施以课堂教学为中心的教学质量工程，加强课堂教学质量监控</w:t>
      </w:r>
    </w:p>
    <w:p w14:paraId="13F58D7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 xml:space="preserve">    1、建立和完善各种保证教学质量、加强教学管理的规章制度，让教学质量监控工作有章可循。</w:t>
      </w:r>
    </w:p>
    <w:p w14:paraId="0ADA8C8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 xml:space="preserve">    2、建立教学评估考核制度，开展以课堂教学评价为中心的教学质量评估工作，其中包括:</w:t>
      </w:r>
    </w:p>
    <w:p w14:paraId="6BBAB79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 xml:space="preserve">    (1) 全面开展学生评教工作，在每门课结束前由学生给任课教师的教学进行评价。</w:t>
      </w:r>
    </w:p>
    <w:p w14:paraId="213B1F2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 xml:space="preserve">    (2) 坚持教师对教学的自我评价，每位教师在完成一个班的一门课教学任务时要总结自己的教学经验和体会。</w:t>
      </w:r>
    </w:p>
    <w:p w14:paraId="5A135FB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 xml:space="preserve">    (3) 教研室要组织经常性的听课、评课活动和教学研究活动，广泛开展同行评价，每学期至少对每个教师听课1次。</w:t>
      </w:r>
    </w:p>
    <w:p w14:paraId="77B31336">
      <w:pPr>
        <w:snapToGrid w:val="0"/>
        <w:spacing w:line="440" w:lineRule="exact"/>
        <w:ind w:firstLine="1120" w:firstLineChars="4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(4) 通过召开学生座谈会的形式，全面了解学生对教师授课情况的反馈意见和建议，并积极进行整改。</w:t>
      </w:r>
    </w:p>
    <w:p w14:paraId="0ED275DA">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三、根据教学质量评价的结果实施奖惩</w:t>
      </w:r>
    </w:p>
    <w:p w14:paraId="12C107E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 xml:space="preserve">    1、按照学校评选教学质量优秀奖的标准，每学期学校评选教学质量优秀奖时，本部门教学质量评价结果作为重要推荐依据;</w:t>
      </w:r>
    </w:p>
    <w:p w14:paraId="0A189174">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34AD149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 xml:space="preserve">2、对在评估中发现的教学效果差、教学质量低劣，出现教学事故的教师除批评帮助以外，还要根据具体情况采取相应的措施，对其中一些属于违纪的教师要按照学校教学管理文件的规定给予必要的处分，直至取消其在本部门从事教学工作的资格。                        </w:t>
      </w:r>
    </w:p>
    <w:p w14:paraId="0C1AF9A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38EB2854">
      <w:pPr>
        <w:spacing w:line="440" w:lineRule="exact"/>
        <w:ind w:firstLine="5040" w:firstLineChars="1800"/>
        <w:rPr>
          <w:rFonts w:hint="eastAsia" w:asciiTheme="minorEastAsia" w:hAnsiTheme="minorEastAsia"/>
          <w:color w:val="auto"/>
          <w:sz w:val="28"/>
          <w:szCs w:val="28"/>
        </w:rPr>
      </w:pP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stheme="minorEastAsia"/>
          <w:color w:val="auto"/>
          <w:kern w:val="0"/>
          <w:sz w:val="28"/>
          <w:szCs w:val="28"/>
          <w:highlight w:val="none"/>
        </w:rPr>
        <w:t xml:space="preserve"> </w:t>
      </w: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olor w:val="auto"/>
          <w:sz w:val="28"/>
          <w:szCs w:val="28"/>
        </w:rPr>
        <w:t>体育部</w:t>
      </w:r>
    </w:p>
    <w:p w14:paraId="6BCC95CE">
      <w:pPr>
        <w:snapToGrid w:val="0"/>
        <w:spacing w:line="440" w:lineRule="exact"/>
        <w:ind w:firstLine="560" w:firstLineChars="200"/>
        <w:jc w:val="right"/>
        <w:rPr>
          <w:rFonts w:asciiTheme="minorEastAsia" w:hAnsiTheme="minorEastAsia" w:cstheme="minorEastAsia"/>
          <w:color w:val="auto"/>
          <w:sz w:val="28"/>
          <w:szCs w:val="28"/>
          <w:highlight w:val="none"/>
        </w:rPr>
      </w:pP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 xml:space="preserve"> 年 </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月</w:t>
      </w:r>
    </w:p>
    <w:p w14:paraId="3B189809">
      <w:pPr>
        <w:snapToGrid w:val="0"/>
        <w:spacing w:line="400" w:lineRule="exact"/>
        <w:ind w:firstLine="420" w:firstLineChars="200"/>
        <w:rPr>
          <w:rFonts w:asciiTheme="minorEastAsia" w:hAnsiTheme="minorEastAsia" w:cstheme="minorEastAsia"/>
          <w:color w:val="auto"/>
          <w:szCs w:val="21"/>
          <w:highlight w:val="none"/>
        </w:rPr>
      </w:pPr>
    </w:p>
    <w:p w14:paraId="2CB04F8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56905F1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6569278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4F887D4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48B5EA8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5D9727D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11D9240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1145E58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1CD4BD3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277EDBB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7133FC2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D03525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41846C6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35B065D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6F94F964">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16AC950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182000C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3B042DA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7910BCE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3B576B4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A901C0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71274A2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47BBEF6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2DB7F6DE">
      <w:pPr>
        <w:pStyle w:val="3"/>
        <w:bidi w:val="0"/>
        <w:jc w:val="center"/>
        <w:rPr>
          <w:rFonts w:hint="eastAsia" w:asciiTheme="minorEastAsia" w:hAnsiTheme="minorEastAsia" w:cstheme="minorEastAsia"/>
          <w:color w:val="auto"/>
          <w:kern w:val="0"/>
          <w:sz w:val="28"/>
          <w:szCs w:val="28"/>
          <w:highlight w:val="none"/>
        </w:rPr>
      </w:pPr>
      <w:bookmarkStart w:id="28" w:name="_Toc8703"/>
      <w:r>
        <w:rPr>
          <w:rFonts w:hint="eastAsia" w:ascii="Arial" w:hAnsi="Arial" w:eastAsia="黑体" w:cstheme="minorBidi"/>
          <w:b/>
          <w:color w:val="auto"/>
          <w:kern w:val="2"/>
          <w:sz w:val="36"/>
          <w:szCs w:val="36"/>
          <w:lang w:val="en-US" w:eastAsia="zh-CN" w:bidi="ar-SA"/>
        </w:rPr>
        <w:t>体育部本科教学质量监控与保障体系及其运行办法</w:t>
      </w:r>
      <w:bookmarkEnd w:id="28"/>
    </w:p>
    <w:p w14:paraId="719539D4">
      <w:pPr>
        <w:snapToGrid w:val="0"/>
        <w:spacing w:line="440" w:lineRule="exact"/>
        <w:ind w:firstLine="562" w:firstLineChars="200"/>
        <w:jc w:val="center"/>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第一章 总则</w:t>
      </w:r>
    </w:p>
    <w:p w14:paraId="4F67DD5C">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第一条</w:t>
      </w:r>
      <w:r>
        <w:rPr>
          <w:rFonts w:hint="eastAsia" w:asciiTheme="minorEastAsia" w:hAnsiTheme="minorEastAsia" w:cstheme="minorEastAsia"/>
          <w:color w:val="auto"/>
          <w:kern w:val="0"/>
          <w:sz w:val="28"/>
          <w:szCs w:val="28"/>
          <w:highlight w:val="none"/>
        </w:rPr>
        <w:t xml:space="preserve"> 为贯彻党的十九大精神，落实立德树人根本任务，进一步突出教学工作中心地位，切实加强教学质量的监控和保障，实施教学过程的全面质量管理，实现对教学质量有效的监督、检查、评估、指导，提高人才培养质量，根据教育部《关于全面提高高等教育质量的若干意见》（教高〔2012〕4 号）及《湖南女子学院本科教学质量监控与保障体系及其运行办法》（湘女院通字〔2018〕44 号）等文件精神，结合体育部教学实际，特制订本办法。</w:t>
      </w:r>
    </w:p>
    <w:p w14:paraId="441738A5">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第二条</w:t>
      </w:r>
      <w:r>
        <w:rPr>
          <w:rFonts w:hint="eastAsia" w:asciiTheme="minorEastAsia" w:hAnsiTheme="minorEastAsia" w:cstheme="minorEastAsia"/>
          <w:color w:val="auto"/>
          <w:kern w:val="0"/>
          <w:sz w:val="28"/>
          <w:szCs w:val="28"/>
          <w:highlight w:val="none"/>
        </w:rPr>
        <w:t xml:space="preserve">  指导思想：全面深化教学质量管理改革，不断创新质量文化，明确责任意识，强调全员参与和全过程管理，将质量管理作为一个系统，全面监控与管理。</w:t>
      </w:r>
    </w:p>
    <w:p w14:paraId="0D313E8C">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第三条</w:t>
      </w:r>
      <w:r>
        <w:rPr>
          <w:rFonts w:hint="eastAsia" w:asciiTheme="minorEastAsia" w:hAnsiTheme="minorEastAsia" w:cstheme="minorEastAsia"/>
          <w:color w:val="auto"/>
          <w:kern w:val="0"/>
          <w:sz w:val="28"/>
          <w:szCs w:val="28"/>
          <w:highlight w:val="none"/>
        </w:rPr>
        <w:t xml:space="preserve"> 建设目标：通过落实本科教学质量监控与保障体系，建立教学质量管理、监控、保障、评价、反馈、改进等机制，促进教学质量不断提高。</w:t>
      </w:r>
    </w:p>
    <w:p w14:paraId="29CA81DB">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第四条</w:t>
      </w:r>
      <w:r>
        <w:rPr>
          <w:rFonts w:hint="eastAsia" w:asciiTheme="minorEastAsia" w:hAnsiTheme="minorEastAsia" w:cstheme="minorEastAsia"/>
          <w:color w:val="auto"/>
          <w:kern w:val="0"/>
          <w:sz w:val="28"/>
          <w:szCs w:val="28"/>
          <w:highlight w:val="none"/>
        </w:rPr>
        <w:t xml:space="preserve">  主要任务：对部门教学管理进行监控与评估，不断提高教学管理水平；对教学条件保障进行监控与评估，不断提高教学条件保障水平；对教师教学质量进行监控与评估，帮助和促进教师改进教学工作，不断提高教学水平；对学生的学习状态和效果进行监控与评估，促进学生学习自觉性的提高。</w:t>
      </w:r>
    </w:p>
    <w:p w14:paraId="496DFCE6">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第五条</w:t>
      </w:r>
      <w:r>
        <w:rPr>
          <w:rFonts w:hint="eastAsia" w:asciiTheme="minorEastAsia" w:hAnsiTheme="minorEastAsia" w:cstheme="minorEastAsia"/>
          <w:color w:val="auto"/>
          <w:kern w:val="0"/>
          <w:sz w:val="28"/>
          <w:szCs w:val="28"/>
          <w:highlight w:val="none"/>
        </w:rPr>
        <w:t xml:space="preserve"> 系统构成：由教学质量决策与指挥系统、目标与标准系统、支持与保障系统、管理与执行系统、监督与评估系统、反馈与改进系统等 6 个子系统构成。6 个子系统既相互独立，又互相作用，相辅相成，构成一个整体。</w:t>
      </w:r>
    </w:p>
    <w:p w14:paraId="4196BA30">
      <w:pPr>
        <w:snapToGrid w:val="0"/>
        <w:spacing w:line="440" w:lineRule="exact"/>
        <w:ind w:firstLine="562" w:firstLineChars="200"/>
        <w:jc w:val="center"/>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第二章 机构及职能</w:t>
      </w:r>
    </w:p>
    <w:p w14:paraId="65D77FE8">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第六条</w:t>
      </w:r>
      <w:r>
        <w:rPr>
          <w:rFonts w:hint="eastAsia" w:asciiTheme="minorEastAsia" w:hAnsiTheme="minorEastAsia" w:cstheme="minorEastAsia"/>
          <w:color w:val="auto"/>
          <w:kern w:val="0"/>
          <w:sz w:val="28"/>
          <w:szCs w:val="28"/>
          <w:highlight w:val="none"/>
        </w:rPr>
        <w:t xml:space="preserve">  教学质量监控与保障工作领导小组</w:t>
      </w:r>
    </w:p>
    <w:p w14:paraId="70F94AE8">
      <w:pPr>
        <w:snapToGrid w:val="0"/>
        <w:spacing w:line="440" w:lineRule="exact"/>
        <w:ind w:firstLine="560" w:firstLineChars="200"/>
        <w:jc w:val="left"/>
        <w:rPr>
          <w:rFonts w:hint="default" w:asciiTheme="minorEastAsia" w:hAnsiTheme="minorEastAsia" w:cstheme="minorEastAsia"/>
          <w:color w:val="auto"/>
          <w:kern w:val="0"/>
          <w:sz w:val="28"/>
          <w:szCs w:val="28"/>
          <w:highlight w:val="none"/>
          <w:lang w:val="en-US"/>
        </w:rPr>
      </w:pPr>
      <w:r>
        <w:rPr>
          <w:rFonts w:hint="eastAsia" w:asciiTheme="minorEastAsia" w:hAnsiTheme="minorEastAsia" w:cstheme="minorEastAsia"/>
          <w:color w:val="auto"/>
          <w:kern w:val="0"/>
          <w:sz w:val="28"/>
          <w:szCs w:val="28"/>
          <w:highlight w:val="none"/>
        </w:rPr>
        <w:t xml:space="preserve">    组长：</w:t>
      </w:r>
      <w:r>
        <w:rPr>
          <w:rFonts w:hint="eastAsia" w:asciiTheme="minorEastAsia" w:hAnsiTheme="minorEastAsia" w:cstheme="minorEastAsia"/>
          <w:color w:val="auto"/>
          <w:kern w:val="0"/>
          <w:sz w:val="28"/>
          <w:szCs w:val="28"/>
          <w:highlight w:val="none"/>
          <w:lang w:val="en-US" w:eastAsia="zh-CN"/>
        </w:rPr>
        <w:t>体育部副主任（主持工作）</w:t>
      </w:r>
    </w:p>
    <w:p w14:paraId="1AE896C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 xml:space="preserve">    成员：</w:t>
      </w:r>
      <w:r>
        <w:rPr>
          <w:rFonts w:hint="eastAsia" w:asciiTheme="minorEastAsia" w:hAnsiTheme="minorEastAsia" w:cstheme="minorEastAsia"/>
          <w:color w:val="auto"/>
          <w:kern w:val="0"/>
          <w:sz w:val="28"/>
          <w:szCs w:val="28"/>
          <w:highlight w:val="none"/>
          <w:lang w:val="en-US" w:eastAsia="zh-CN"/>
        </w:rPr>
        <w:t>综合办主任</w:t>
      </w:r>
      <w:r>
        <w:rPr>
          <w:rFonts w:hint="eastAsia" w:asciiTheme="minorEastAsia" w:hAnsiTheme="minorEastAsia" w:cstheme="minorEastAsia"/>
          <w:color w:val="auto"/>
          <w:kern w:val="0"/>
          <w:sz w:val="28"/>
          <w:szCs w:val="28"/>
          <w:highlight w:val="none"/>
        </w:rPr>
        <w:t>、</w:t>
      </w:r>
      <w:r>
        <w:rPr>
          <w:rFonts w:hint="eastAsia" w:asciiTheme="minorEastAsia" w:hAnsiTheme="minorEastAsia" w:cstheme="minorEastAsia"/>
          <w:color w:val="auto"/>
          <w:kern w:val="0"/>
          <w:sz w:val="28"/>
          <w:szCs w:val="28"/>
          <w:highlight w:val="none"/>
          <w:lang w:val="en-US" w:eastAsia="zh-CN"/>
        </w:rPr>
        <w:t>教研室主任、督导</w:t>
      </w:r>
      <w:r>
        <w:rPr>
          <w:rFonts w:hint="eastAsia" w:asciiTheme="minorEastAsia" w:hAnsiTheme="minorEastAsia" w:cstheme="minorEastAsia"/>
          <w:color w:val="auto"/>
          <w:kern w:val="0"/>
          <w:sz w:val="28"/>
          <w:szCs w:val="28"/>
          <w:highlight w:val="none"/>
        </w:rPr>
        <w:t>职责：</w:t>
      </w:r>
    </w:p>
    <w:p w14:paraId="04D5B39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1、负责完善部门教学质量监控与保障体系；</w:t>
      </w:r>
    </w:p>
    <w:p w14:paraId="7E9B4E4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2、负责组织部门教学质量监控工作，监控全部门教学质量总体运行情况；</w:t>
      </w:r>
    </w:p>
    <w:p w14:paraId="6AACC48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3、负责对教学质量反馈信息的处理、数据分析和结果反馈；</w:t>
      </w:r>
    </w:p>
    <w:p w14:paraId="2870FB1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4、负责组织教学检查工作，汇总检查信息，反馈检查结果；</w:t>
      </w:r>
    </w:p>
    <w:p w14:paraId="4B47823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5、负责协助学校教学质量与监控中心、教务处对教学事故进行认定和处理，负责受理师生对教学过程中出现问题的投诉；</w:t>
      </w:r>
    </w:p>
    <w:p w14:paraId="7EF8AE7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6、负责组织教学质量评价工作，对教学质量评价信息进行处理与反馈；</w:t>
      </w:r>
    </w:p>
    <w:p w14:paraId="620FC8F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7、负责监督检查各教研室教学质量监控工作执行情况，检查相关资料；</w:t>
      </w:r>
    </w:p>
    <w:p w14:paraId="0B2D0784">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8、负责教学质量监控工作档案材料的收集及上报；</w:t>
      </w:r>
    </w:p>
    <w:p w14:paraId="18C32DF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9、完成上级部门交办的其他工作。</w:t>
      </w:r>
    </w:p>
    <w:p w14:paraId="063880D8">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第七条  教学指导委员会</w:t>
      </w:r>
    </w:p>
    <w:p w14:paraId="0252C38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教学指导委员会是对部门教学工作进行研究、指导、审议、评估以及提供咨询的专家组织。</w:t>
      </w:r>
    </w:p>
    <w:p w14:paraId="3CF3B8E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rPr>
        <w:t xml:space="preserve">    组长：</w:t>
      </w:r>
      <w:r>
        <w:rPr>
          <w:rFonts w:hint="eastAsia" w:asciiTheme="minorEastAsia" w:hAnsiTheme="minorEastAsia" w:cstheme="minorEastAsia"/>
          <w:color w:val="auto"/>
          <w:kern w:val="0"/>
          <w:sz w:val="28"/>
          <w:szCs w:val="28"/>
          <w:highlight w:val="none"/>
          <w:lang w:val="en-US" w:eastAsia="zh-CN"/>
        </w:rPr>
        <w:t>体育副部主任</w:t>
      </w:r>
      <w:r>
        <w:rPr>
          <w:rFonts w:hint="eastAsia" w:asciiTheme="minorEastAsia" w:hAnsiTheme="minorEastAsia" w:cstheme="minorEastAsia"/>
          <w:color w:val="auto"/>
          <w:kern w:val="0"/>
          <w:sz w:val="28"/>
          <w:szCs w:val="28"/>
          <w:highlight w:val="none"/>
        </w:rPr>
        <w:t xml:space="preserve"> </w:t>
      </w:r>
      <w:r>
        <w:rPr>
          <w:rFonts w:hint="eastAsia" w:asciiTheme="minorEastAsia" w:hAnsiTheme="minorEastAsia" w:cstheme="minorEastAsia"/>
          <w:color w:val="auto"/>
          <w:kern w:val="0"/>
          <w:sz w:val="28"/>
          <w:szCs w:val="28"/>
          <w:highlight w:val="none"/>
          <w:lang w:eastAsia="zh-CN"/>
        </w:rPr>
        <w:t>（</w:t>
      </w:r>
      <w:r>
        <w:rPr>
          <w:rFonts w:hint="eastAsia" w:asciiTheme="minorEastAsia" w:hAnsiTheme="minorEastAsia" w:cstheme="minorEastAsia"/>
          <w:color w:val="auto"/>
          <w:kern w:val="0"/>
          <w:sz w:val="28"/>
          <w:szCs w:val="28"/>
          <w:highlight w:val="none"/>
          <w:lang w:val="en-US" w:eastAsia="zh-CN"/>
        </w:rPr>
        <w:t>主持工作）</w:t>
      </w:r>
    </w:p>
    <w:p w14:paraId="23679DD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 xml:space="preserve">    成员：</w:t>
      </w:r>
      <w:r>
        <w:rPr>
          <w:rFonts w:hint="eastAsia" w:asciiTheme="minorEastAsia" w:hAnsiTheme="minorEastAsia" w:cstheme="minorEastAsia"/>
          <w:color w:val="auto"/>
          <w:kern w:val="0"/>
          <w:sz w:val="28"/>
          <w:szCs w:val="28"/>
          <w:highlight w:val="none"/>
          <w:lang w:val="en-US" w:eastAsia="zh-CN"/>
        </w:rPr>
        <w:t>教研室主任、督导</w:t>
      </w:r>
    </w:p>
    <w:p w14:paraId="7099F447">
      <w:pPr>
        <w:snapToGrid w:val="0"/>
        <w:spacing w:line="440" w:lineRule="exact"/>
        <w:ind w:firstLine="1120" w:firstLineChars="400"/>
        <w:jc w:val="left"/>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rPr>
        <w:t>秘书：</w:t>
      </w:r>
      <w:r>
        <w:rPr>
          <w:rFonts w:hint="eastAsia" w:asciiTheme="minorEastAsia" w:hAnsiTheme="minorEastAsia" w:cstheme="minorEastAsia"/>
          <w:color w:val="auto"/>
          <w:kern w:val="0"/>
          <w:sz w:val="28"/>
          <w:szCs w:val="28"/>
          <w:highlight w:val="none"/>
          <w:lang w:val="en-US" w:eastAsia="zh-CN"/>
        </w:rPr>
        <w:t>综合办主任</w:t>
      </w:r>
    </w:p>
    <w:p w14:paraId="4ED7481A">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职责：</w:t>
      </w:r>
    </w:p>
    <w:p w14:paraId="25E93E0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1、贯彻落实党的教育方针政策及上级有关教育教学工作的文件精神，制定部门有关教育及管理工作的指导思想、政策、规划。</w:t>
      </w:r>
    </w:p>
    <w:p w14:paraId="6078B42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2、把握国内外高等教育的发展趋势，就部门教育教学改革与发展重要问题进行理论与实际研究，为部门提供咨询意见和建议。</w:t>
      </w:r>
    </w:p>
    <w:p w14:paraId="31E2405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3、把握教学发展与教学改革方向，研究教学工作中存在的问题，指导部门开展课程建设、教材建设、教学场地、器材、设备建设、现代教育技术、运动训练与竞赛、阳光体育活动、体质健康测试、教学质量评估与检查等工作。</w:t>
      </w:r>
    </w:p>
    <w:p w14:paraId="2F6EE38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4、评议推荐教学项目立项；评议和推荐优秀教学成果、教学名师、精品课程。</w:t>
      </w:r>
    </w:p>
    <w:p w14:paraId="2A95C86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5、研究提高教学质量、加强教学质量监控的方针、对策和举措；参与评议教学质量监控效果、人才培养质量和教学管理部门的工作；收集有关教学及管理部门工作的信息、建议和意见，监督检查教学及教务管理工作，指导教学管理部门开展教学管理和教学研究工作。</w:t>
      </w:r>
    </w:p>
    <w:p w14:paraId="5096EDD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6、审议部门重大教学改革方案、课程设置与调整、教学管理规章制度、质量评估标准与方法、教学规范等；研究并决定教学奖惩的制度和措施。</w:t>
      </w:r>
    </w:p>
    <w:p w14:paraId="05C1ECC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7、审批教学计划、教学大纲、考试大纲、教案等事项。</w:t>
      </w:r>
    </w:p>
    <w:p w14:paraId="5607839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8、研究部门教师队伍建设的发展规划和政策。</w:t>
      </w:r>
    </w:p>
    <w:p w14:paraId="59CDEEE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9、审查教师教学事故的处理；受理教师教学事故过程中的教师上诉。</w:t>
      </w:r>
    </w:p>
    <w:p w14:paraId="70A0AA3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10、沟通信息，交流教学和教学改革经验，宣传推广教学研究成果。</w:t>
      </w:r>
    </w:p>
    <w:p w14:paraId="3F1C323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11、完成部门委托的其他工作。</w:t>
      </w:r>
    </w:p>
    <w:p w14:paraId="0D54339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12、部门教学指导委员会每学期至少召开一次例会，同时根据工作需要不定期召开专门会议研究有关议题。</w:t>
      </w:r>
    </w:p>
    <w:p w14:paraId="16938C1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13、教学指导委员会的成员由部务会决定任免，任期中可根据工作需要对其成员进行调整。</w:t>
      </w:r>
    </w:p>
    <w:p w14:paraId="37AF16D5">
      <w:pPr>
        <w:snapToGrid w:val="0"/>
        <w:spacing w:line="440" w:lineRule="exact"/>
        <w:ind w:firstLine="562" w:firstLineChars="200"/>
        <w:jc w:val="center"/>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第三章 主要环节及内容</w:t>
      </w:r>
    </w:p>
    <w:p w14:paraId="0ADD3913">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 xml:space="preserve">第八条 </w:t>
      </w:r>
      <w:r>
        <w:rPr>
          <w:rFonts w:hint="eastAsia" w:asciiTheme="minorEastAsia" w:hAnsiTheme="minorEastAsia" w:cstheme="minorEastAsia"/>
          <w:color w:val="auto"/>
          <w:kern w:val="0"/>
          <w:sz w:val="28"/>
          <w:szCs w:val="28"/>
          <w:highlight w:val="none"/>
        </w:rPr>
        <w:t>人才培养方案</w:t>
      </w:r>
    </w:p>
    <w:p w14:paraId="5BAE44D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人才培养方案是学院的基本教学文件，是学院人才培养的顶层设计和根本依据。体育部针对学院制定的人才培养方案，首先提出体育在人才培养方案制定的要求，然后主要是从人才培养方案执行情况、课程安排情况、实验课开设情况、实践环节落实情况、教学大纲执行情况、教材选用情况、学生考试情况等方面进行管理。</w:t>
      </w:r>
    </w:p>
    <w:p w14:paraId="3E0ED3B0">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第九条</w:t>
      </w:r>
      <w:r>
        <w:rPr>
          <w:rFonts w:hint="eastAsia" w:asciiTheme="minorEastAsia" w:hAnsiTheme="minorEastAsia" w:cstheme="minorEastAsia"/>
          <w:color w:val="auto"/>
          <w:kern w:val="0"/>
          <w:sz w:val="28"/>
          <w:szCs w:val="28"/>
          <w:highlight w:val="none"/>
        </w:rPr>
        <w:t xml:space="preserve"> 教学大纲</w:t>
      </w:r>
    </w:p>
    <w:p w14:paraId="480DBEF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学大纲是根据学科内容及其体系和教学计划的要求编写的教学指导文件，它以纲要的形式规定了课程的教学目的、任务，知识、技能的范围、深度与体系结构，教学进度和教学方法的基本要求。它是编选教材和进行教学工作的主要依据，也是检查学生学业成绩和评估教师教学质量的重要准则。对教学大纲制定的质量管理主要是保证教学内容能反映学科专业最新动态和社会需求，充分体现学院人才培养目标与要求等。教学大纲的实主要是从教学大纲执行情况、教材选用情况、学生考试情况等方面进行管理。</w:t>
      </w:r>
    </w:p>
    <w:p w14:paraId="10714F3C">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第十条</w:t>
      </w:r>
      <w:r>
        <w:rPr>
          <w:rFonts w:hint="eastAsia" w:asciiTheme="minorEastAsia" w:hAnsiTheme="minorEastAsia" w:cstheme="minorEastAsia"/>
          <w:color w:val="auto"/>
          <w:kern w:val="0"/>
          <w:sz w:val="28"/>
          <w:szCs w:val="28"/>
          <w:highlight w:val="none"/>
        </w:rPr>
        <w:t xml:space="preserve"> 教材</w:t>
      </w:r>
    </w:p>
    <w:p w14:paraId="14C232A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材质量直接体现着高等教育和科学研究的发展水平，也直接影响本科教学的质量。教材质量保障的主要内容是编写选用与教学大纲相适应的教材和教学参考书。应制定切实可行的教材建设规划，编写具有特色的高水平教材和讲义；鼓励选用国家优秀教材和新教材。</w:t>
      </w:r>
    </w:p>
    <w:p w14:paraId="08AC6732">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 xml:space="preserve">第十一条 </w:t>
      </w:r>
      <w:r>
        <w:rPr>
          <w:rFonts w:hint="eastAsia" w:asciiTheme="minorEastAsia" w:hAnsiTheme="minorEastAsia" w:cstheme="minorEastAsia"/>
          <w:color w:val="auto"/>
          <w:kern w:val="0"/>
          <w:sz w:val="28"/>
          <w:szCs w:val="28"/>
          <w:highlight w:val="none"/>
        </w:rPr>
        <w:t>教学条件</w:t>
      </w:r>
    </w:p>
    <w:p w14:paraId="378BAD0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学条件是保障教学正常运行和教学质量的前提。教学条件质量保障的主要内容是体育场馆建设能满足教学需要，拥有充足的体育器材，保证教学四项经费、教学科研仪器设备、校舍、体育场馆条件达到普通高等学院本科办学相关指标要求。</w:t>
      </w:r>
    </w:p>
    <w:p w14:paraId="5831F60E">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第十二条</w:t>
      </w:r>
      <w:r>
        <w:rPr>
          <w:rFonts w:hint="eastAsia" w:asciiTheme="minorEastAsia" w:hAnsiTheme="minorEastAsia" w:cstheme="minorEastAsia"/>
          <w:color w:val="auto"/>
          <w:kern w:val="0"/>
          <w:sz w:val="28"/>
          <w:szCs w:val="28"/>
          <w:highlight w:val="none"/>
        </w:rPr>
        <w:t xml:space="preserve"> 体育课堂教学</w:t>
      </w:r>
    </w:p>
    <w:p w14:paraId="75EC099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体育课堂教学是保障教学质量的核心环节。体育课堂教学质量保障主要从课前准备、授课过程、课外作业与辅导、成绩考评、体育场馆管理体制与开放度、环境与条件、管理队伍及管理制度、体育课程开设情况及教学效果等方面实施全程监控，包括备课是否充分、教案是否完整、教材是否恰当；讲授是否清晰、概念是否准确、内容是否更新、重点是否突出、是否启发思维、是否因材施教；课余体育辅导是否到位；学生课程学习成绩考核是否科学、严格、体育场馆是否稳定和具有较高的利用率、管理制度是否健全，师资是否满足需要，硬件是否完善，教学基础资料是否齐备等方面。为了保障课堂教学质量，应把教学作为教师考核的首要内容，把教授为本科生授课作为重要制度。</w:t>
      </w:r>
    </w:p>
    <w:p w14:paraId="448A402F">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第十三条</w:t>
      </w:r>
      <w:r>
        <w:rPr>
          <w:rFonts w:hint="eastAsia" w:asciiTheme="minorEastAsia" w:hAnsiTheme="minorEastAsia" w:cstheme="minorEastAsia"/>
          <w:color w:val="auto"/>
          <w:kern w:val="0"/>
          <w:sz w:val="28"/>
          <w:szCs w:val="28"/>
          <w:highlight w:val="none"/>
        </w:rPr>
        <w:t xml:space="preserve"> 课程考试</w:t>
      </w:r>
    </w:p>
    <w:p w14:paraId="3CC2427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课程考试是检查教师教学效果和学生学习水平的主要手段。考试质量保障的内容包括考查方案质量、考试管理工作质量、评分质量、成绩分析质量等。</w:t>
      </w:r>
    </w:p>
    <w:p w14:paraId="4AABF7A0">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第十四条</w:t>
      </w:r>
      <w:r>
        <w:rPr>
          <w:rFonts w:hint="eastAsia" w:asciiTheme="minorEastAsia" w:hAnsiTheme="minorEastAsia" w:cstheme="minorEastAsia"/>
          <w:color w:val="auto"/>
          <w:kern w:val="0"/>
          <w:sz w:val="28"/>
          <w:szCs w:val="28"/>
          <w:highlight w:val="none"/>
        </w:rPr>
        <w:t xml:space="preserve"> 教学管理制度</w:t>
      </w:r>
    </w:p>
    <w:p w14:paraId="7250F3A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学管理制度是部门开展教学工作和进行教学质量管理、监控与保障工作的重要依据。教学管理制度质量保障的主要内容是要制定并完善教学基本文件，包括人才培养方案、教学大纲、学期进程计划、教学日历、课程表、学期教学总结等；建立必要的工作制度，包括学籍管理、成绩考核管理、体育场馆器材管理、排课与调课、教师教学档案制度、教师和教学管理人员岗位责任、学生守则、课外活动规则等管理制度。</w:t>
      </w:r>
    </w:p>
    <w:p w14:paraId="207BEE4F">
      <w:pPr>
        <w:snapToGrid w:val="0"/>
        <w:spacing w:line="440" w:lineRule="exact"/>
        <w:ind w:firstLine="562" w:firstLineChars="200"/>
        <w:jc w:val="center"/>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第四章 系统运行</w:t>
      </w:r>
    </w:p>
    <w:p w14:paraId="3B341338">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第十五条</w:t>
      </w:r>
      <w:r>
        <w:rPr>
          <w:rFonts w:hint="eastAsia" w:asciiTheme="minorEastAsia" w:hAnsiTheme="minorEastAsia" w:cstheme="minorEastAsia"/>
          <w:color w:val="auto"/>
          <w:kern w:val="0"/>
          <w:sz w:val="28"/>
          <w:szCs w:val="28"/>
          <w:highlight w:val="none"/>
        </w:rPr>
        <w:t xml:space="preserve"> 决策与指挥系统</w:t>
      </w:r>
    </w:p>
    <w:p w14:paraId="37330D8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教学质量决策与指挥系统由质量监控与保障工作领导小组、教学指导委员会等组成。本系统在遵循高等教育规律和现代教育思想的基础上，确立</w:t>
      </w:r>
      <w:r>
        <w:rPr>
          <w:rFonts w:hint="eastAsia" w:asciiTheme="minorEastAsia" w:hAnsiTheme="minorEastAsia" w:cstheme="minorEastAsia"/>
          <w:color w:val="auto"/>
          <w:kern w:val="0"/>
          <w:sz w:val="28"/>
          <w:szCs w:val="28"/>
          <w:highlight w:val="none"/>
          <w:lang w:val="en-US" w:eastAsia="zh-CN"/>
        </w:rPr>
        <w:t>体育部</w:t>
      </w:r>
      <w:r>
        <w:rPr>
          <w:rFonts w:hint="eastAsia" w:asciiTheme="minorEastAsia" w:hAnsiTheme="minorEastAsia" w:cstheme="minorEastAsia"/>
          <w:color w:val="auto"/>
          <w:kern w:val="0"/>
          <w:sz w:val="28"/>
          <w:szCs w:val="28"/>
          <w:highlight w:val="none"/>
        </w:rPr>
        <w:t>办学指导思想、办学理念和办学定位，确定人才培养模式，优化学科专业结构，培育办学特色，对重大教学活动进行决策，并指挥实施。</w:t>
      </w:r>
    </w:p>
    <w:p w14:paraId="63616BB1">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第十六条</w:t>
      </w:r>
      <w:r>
        <w:rPr>
          <w:rFonts w:hint="eastAsia" w:asciiTheme="minorEastAsia" w:hAnsiTheme="minorEastAsia" w:cstheme="minorEastAsia"/>
          <w:color w:val="auto"/>
          <w:kern w:val="0"/>
          <w:sz w:val="28"/>
          <w:szCs w:val="28"/>
          <w:highlight w:val="none"/>
        </w:rPr>
        <w:t xml:space="preserve"> 目标与标准系统</w:t>
      </w:r>
    </w:p>
    <w:p w14:paraId="2D0782A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学质量目标与标准系统由质量监控与保障工作领导小组、教学指导委员会等组成。本系统根据学院人才培养总目标制定教学环节质量标准、课程教学质量标准，确保人才培养、教学质量检查与督促有据可依。其关键质量控制点与相应的质量管理重点是教学大纲、课程建设、课堂教学、考试等质量标准的制定。</w:t>
      </w:r>
    </w:p>
    <w:p w14:paraId="7029F917">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第十七条</w:t>
      </w:r>
      <w:r>
        <w:rPr>
          <w:rFonts w:hint="eastAsia" w:asciiTheme="minorEastAsia" w:hAnsiTheme="minorEastAsia" w:cstheme="minorEastAsia"/>
          <w:color w:val="auto"/>
          <w:kern w:val="0"/>
          <w:sz w:val="28"/>
          <w:szCs w:val="28"/>
          <w:highlight w:val="none"/>
        </w:rPr>
        <w:t xml:space="preserve"> 支持与保障系统</w:t>
      </w:r>
    </w:p>
    <w:p w14:paraId="010B43CF">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学条件支持与保障系统由体育部、人事处、教务处、财务处、国有资产管理处、后勤处、基建处、网络与教育技术中心等组成。本系统通过学院相关制度和规定，确保师资队伍数量和质量、教学管理队伍数量和质量、经费投入、教学设备设施、图书资料、校园网络等人财物切实满足人才培养需要。</w:t>
      </w:r>
    </w:p>
    <w:p w14:paraId="050AA62D">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第十八条</w:t>
      </w:r>
      <w:r>
        <w:rPr>
          <w:rFonts w:hint="eastAsia" w:asciiTheme="minorEastAsia" w:hAnsiTheme="minorEastAsia" w:cstheme="minorEastAsia"/>
          <w:color w:val="auto"/>
          <w:kern w:val="0"/>
          <w:sz w:val="28"/>
          <w:szCs w:val="28"/>
          <w:highlight w:val="none"/>
        </w:rPr>
        <w:t xml:space="preserve"> 管理与执行系统</w:t>
      </w:r>
    </w:p>
    <w:p w14:paraId="7E90F55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学质量管理与执行系统由部门教学指导委员会、质量监控与保障工作领导小组等组成。本系统通过相关制度和规定，确保教学计划管理、教学运行管理、实践教学管理、教材建设与管理、课程建设与管理考试管理、成绩管理、实训室建设与管理、学生发展过程管理、教学质量工程项目建设与管理等得以顺利开展。</w:t>
      </w:r>
    </w:p>
    <w:p w14:paraId="18D24FF1">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第十九条</w:t>
      </w:r>
      <w:r>
        <w:rPr>
          <w:rFonts w:hint="eastAsia" w:asciiTheme="minorEastAsia" w:hAnsiTheme="minorEastAsia" w:cstheme="minorEastAsia"/>
          <w:color w:val="auto"/>
          <w:kern w:val="0"/>
          <w:sz w:val="28"/>
          <w:szCs w:val="28"/>
          <w:highlight w:val="none"/>
        </w:rPr>
        <w:t xml:space="preserve"> 监督与评估系统</w:t>
      </w:r>
    </w:p>
    <w:p w14:paraId="36C7FC23">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学质量监督与评估系统由部门质量监控与保障工作领导小组、教学指导委员会等组成。本系统主要依据教学督导制度、听课制度、学生教学信息员制度、学生评教制度、教学工作评估制度、教学专项检查制度等，形成有效的教学评估体系和运行机制，确保教学工作的规范化运行。其关键质量控制点与相应的质量管理重点措施包括教师教学工作评估（评教评学、教师课程教学考核、师生座谈会、课堂教学竞赛与磨课、管理人员听课、同行听课、督导听课等）、课程评估、体育场馆评估、教学条件保障情况评估等活动的开展。</w:t>
      </w:r>
    </w:p>
    <w:p w14:paraId="19D7F344">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第二十条</w:t>
      </w:r>
      <w:r>
        <w:rPr>
          <w:rFonts w:hint="eastAsia" w:asciiTheme="minorEastAsia" w:hAnsiTheme="minorEastAsia" w:cstheme="minorEastAsia"/>
          <w:color w:val="auto"/>
          <w:kern w:val="0"/>
          <w:sz w:val="28"/>
          <w:szCs w:val="28"/>
          <w:highlight w:val="none"/>
        </w:rPr>
        <w:t xml:space="preserve"> 反馈与改进系统</w:t>
      </w:r>
    </w:p>
    <w:p w14:paraId="127E967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学质量信息反馈与改进系统由部门质量监控与保障工作领导小组、教务处、学院教学质量检测与评估处等部门单位组成。本系统通过相关制度和规定，通过教学工作评估、日常教学检查、学生学业成绩、教学督导通报、听课记录、座谈会记录、领导信箱、教学基本状态数据库、年度教学质量报告、教学信息网络系统等途径，收集与反馈教学信息。根据教学质量监控与保障体系中所承担的职能，采取点对点、点对面、由上而下、由下而上的双向多元的交互方式，提出教学中所存在的问题，根据问题的轻重缓急，认真分析问题的原因，研究解决的办法，及时整改。</w:t>
      </w:r>
    </w:p>
    <w:p w14:paraId="61D7B4C6">
      <w:pPr>
        <w:snapToGrid w:val="0"/>
        <w:spacing w:line="440" w:lineRule="exact"/>
        <w:ind w:firstLine="562"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第二十一条</w:t>
      </w:r>
      <w:r>
        <w:rPr>
          <w:rFonts w:hint="eastAsia" w:asciiTheme="minorEastAsia" w:hAnsiTheme="minorEastAsia" w:cstheme="minorEastAsia"/>
          <w:color w:val="auto"/>
          <w:kern w:val="0"/>
          <w:sz w:val="28"/>
          <w:szCs w:val="28"/>
          <w:highlight w:val="none"/>
        </w:rPr>
        <w:t xml:space="preserve"> 本办法自公布之日起实施，由体育部负责解释。</w:t>
      </w:r>
    </w:p>
    <w:p w14:paraId="5A4A83F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16188AE5">
      <w:pPr>
        <w:spacing w:line="440" w:lineRule="exact"/>
        <w:ind w:firstLine="5040" w:firstLineChars="1800"/>
        <w:rPr>
          <w:rFonts w:hint="eastAsia" w:asciiTheme="minorEastAsia" w:hAnsiTheme="minorEastAsia"/>
          <w:color w:val="auto"/>
          <w:sz w:val="28"/>
          <w:szCs w:val="28"/>
        </w:rPr>
      </w:pP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stheme="minorEastAsia"/>
          <w:color w:val="auto"/>
          <w:kern w:val="0"/>
          <w:sz w:val="28"/>
          <w:szCs w:val="28"/>
          <w:highlight w:val="none"/>
        </w:rPr>
        <w:t xml:space="preserve"> </w:t>
      </w: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olor w:val="auto"/>
          <w:sz w:val="28"/>
          <w:szCs w:val="28"/>
        </w:rPr>
        <w:t>体育部</w:t>
      </w:r>
    </w:p>
    <w:p w14:paraId="4C378F7E">
      <w:pPr>
        <w:snapToGrid w:val="0"/>
        <w:spacing w:line="440" w:lineRule="exact"/>
        <w:ind w:firstLine="560" w:firstLineChars="200"/>
        <w:jc w:val="right"/>
        <w:rPr>
          <w:rFonts w:asciiTheme="minorEastAsia" w:hAnsiTheme="minorEastAsia" w:cstheme="minorEastAsia"/>
          <w:color w:val="auto"/>
          <w:sz w:val="28"/>
          <w:szCs w:val="28"/>
          <w:highlight w:val="none"/>
        </w:rPr>
      </w:pP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 xml:space="preserve"> 年 </w:t>
      </w:r>
      <w:r>
        <w:rPr>
          <w:rFonts w:hint="eastAsia" w:ascii="Times New Roman" w:hAnsi="Times New Roman" w:eastAsia="宋体" w:cs="Times New Roman"/>
          <w:color w:val="auto"/>
          <w:sz w:val="28"/>
          <w:szCs w:val="28"/>
          <w:highlight w:val="none"/>
          <w:lang w:val="en-US" w:eastAsia="zh-CN"/>
        </w:rPr>
        <w:t>3</w:t>
      </w:r>
      <w:r>
        <w:rPr>
          <w:rFonts w:hint="eastAsia" w:ascii="宋体" w:hAnsi="宋体" w:eastAsia="宋体" w:cs="宋体"/>
          <w:color w:val="auto"/>
          <w:sz w:val="28"/>
          <w:szCs w:val="28"/>
          <w:highlight w:val="none"/>
        </w:rPr>
        <w:t>月</w:t>
      </w:r>
    </w:p>
    <w:p w14:paraId="14C21F40">
      <w:pPr>
        <w:snapToGrid w:val="0"/>
        <w:spacing w:line="400" w:lineRule="exact"/>
        <w:ind w:firstLine="420" w:firstLineChars="200"/>
        <w:rPr>
          <w:rFonts w:asciiTheme="minorEastAsia" w:hAnsiTheme="minorEastAsia" w:cstheme="minorEastAsia"/>
          <w:color w:val="auto"/>
          <w:szCs w:val="21"/>
          <w:highlight w:val="none"/>
        </w:rPr>
      </w:pPr>
    </w:p>
    <w:p w14:paraId="237E028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522C813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127170F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3C3CC6F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3155ECF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43A1401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1369A6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4DAE9F0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60D4B404">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148C22C1">
      <w:pPr>
        <w:pStyle w:val="12"/>
        <w:jc w:val="both"/>
        <w:rPr>
          <w:rFonts w:hint="eastAsia" w:asciiTheme="minorEastAsia" w:hAnsiTheme="minorEastAsia" w:cstheme="minorEastAsia"/>
          <w:color w:val="auto"/>
          <w:kern w:val="0"/>
          <w:sz w:val="28"/>
          <w:szCs w:val="28"/>
          <w:highlight w:val="none"/>
        </w:rPr>
      </w:pPr>
    </w:p>
    <w:p w14:paraId="4771D1B3">
      <w:pPr>
        <w:pStyle w:val="3"/>
        <w:keepNext/>
        <w:keepLines/>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ascii="Times New Roman" w:hAnsi="Times New Roman" w:eastAsia="黑体" w:cstheme="minorBidi"/>
          <w:b/>
          <w:color w:val="auto"/>
          <w:kern w:val="2"/>
          <w:sz w:val="36"/>
          <w:szCs w:val="36"/>
          <w:lang w:val="en-US" w:eastAsia="zh-CN" w:bidi="ar-SA"/>
        </w:rPr>
      </w:pPr>
      <w:bookmarkStart w:id="29" w:name="_Toc8163"/>
      <w:r>
        <w:rPr>
          <w:rFonts w:hint="eastAsia" w:ascii="Times New Roman" w:hAnsi="Times New Roman" w:eastAsia="黑体" w:cstheme="minorBidi"/>
          <w:b/>
          <w:color w:val="auto"/>
          <w:kern w:val="2"/>
          <w:sz w:val="36"/>
          <w:szCs w:val="36"/>
          <w:lang w:val="en-US" w:eastAsia="zh-CN" w:bidi="ar-SA"/>
        </w:rPr>
        <w:t>体育部教学质量信息反馈实施办法（试行）</w:t>
      </w:r>
      <w:bookmarkEnd w:id="29"/>
    </w:p>
    <w:p w14:paraId="2DA33F6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为了加强教学质量监控，全面掌握真实的教学质量信息和教学动态，及时发现教学中存在的问题并予以解决，以促进体育部教学质量不断提高，为专业建设和专业教学改革提供有价值的参考资料，特制定体育部教学质量信息反馈实施办法。</w:t>
      </w:r>
    </w:p>
    <w:p w14:paraId="48F4203F">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lang w:val="en-US" w:eastAsia="zh-CN"/>
        </w:rPr>
        <w:t>一</w:t>
      </w:r>
      <w:r>
        <w:rPr>
          <w:rFonts w:hint="eastAsia" w:asciiTheme="minorEastAsia" w:hAnsiTheme="minorEastAsia" w:cstheme="minorEastAsia"/>
          <w:b/>
          <w:bCs/>
          <w:color w:val="auto"/>
          <w:kern w:val="0"/>
          <w:sz w:val="28"/>
          <w:szCs w:val="28"/>
          <w:highlight w:val="none"/>
        </w:rPr>
        <w:t>、定期召开学生座谈会</w:t>
      </w:r>
    </w:p>
    <w:p w14:paraId="20DBB29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召开学生座谈会旨在收集学生对体育部的教学管理工作及教风、学风、考风，以及对任课教师的教学态度、教学方法、教学内容、教学手段和教学水平等问题提出的意见和建议。</w:t>
      </w:r>
    </w:p>
    <w:p w14:paraId="39EA9CD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一般每学期开课后第三周召开学生座谈会，收集上学期的教学反馈信息。座谈会由各教研室分别组织，每班选4 - 5名学生代表参加座谈会。</w:t>
      </w:r>
    </w:p>
    <w:p w14:paraId="6B718C3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一般教学环节结束后要召开学生座谈会。</w:t>
      </w:r>
    </w:p>
    <w:p w14:paraId="59FC730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各教研室教师参加座谈并安排专人做好座谈会纪录。</w:t>
      </w:r>
    </w:p>
    <w:p w14:paraId="6C58914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各教研室座谈会的时间应提前告知体育部教学督导，教学督导应按时列席会议。</w:t>
      </w:r>
    </w:p>
    <w:p w14:paraId="25342E35">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对于学生座谈会反映的问题，按不同类别分为：教研室、</w:t>
      </w:r>
      <w:r>
        <w:rPr>
          <w:rFonts w:hint="eastAsia" w:asciiTheme="minorEastAsia" w:hAnsiTheme="minorEastAsia" w:cstheme="minorEastAsia"/>
          <w:color w:val="auto"/>
          <w:kern w:val="0"/>
          <w:sz w:val="28"/>
          <w:szCs w:val="28"/>
          <w:highlight w:val="none"/>
          <w:lang w:val="en-US" w:eastAsia="zh-CN"/>
        </w:rPr>
        <w:t>体测</w:t>
      </w:r>
      <w:r>
        <w:rPr>
          <w:rFonts w:hint="eastAsia" w:asciiTheme="minorEastAsia" w:hAnsiTheme="minorEastAsia" w:cstheme="minorEastAsia"/>
          <w:color w:val="auto"/>
          <w:kern w:val="0"/>
          <w:sz w:val="28"/>
          <w:szCs w:val="28"/>
          <w:highlight w:val="none"/>
        </w:rPr>
        <w:t>中心能解决的，要有明确的答复，要确定解决问题的期限和方式；教研室、中心无法解决的，要及时向体育部或有关主管部门反馈，并将反馈结果传达给提出问题的相应班级。</w:t>
      </w:r>
    </w:p>
    <w:p w14:paraId="647228D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各教研室、中心于学生座谈会后一周内对座谈会提出问题的解决情况做出总结，并报体育部教学督导。</w:t>
      </w:r>
    </w:p>
    <w:p w14:paraId="7DD61F78">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lang w:val="en-US" w:eastAsia="zh-CN"/>
        </w:rPr>
        <w:t>二</w:t>
      </w:r>
      <w:r>
        <w:rPr>
          <w:rFonts w:hint="eastAsia" w:asciiTheme="minorEastAsia" w:hAnsiTheme="minorEastAsia" w:cstheme="minorEastAsia"/>
          <w:b/>
          <w:bCs/>
          <w:color w:val="auto"/>
          <w:kern w:val="0"/>
          <w:sz w:val="28"/>
          <w:szCs w:val="28"/>
          <w:highlight w:val="none"/>
        </w:rPr>
        <w:t>、定期召开教师座谈会</w:t>
      </w:r>
    </w:p>
    <w:p w14:paraId="16B08EA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召开教师座谈会旨在听取教师对任课班级学生素质和学习状况的分析，针对性地提出对该班级所在专业的专业建设方案、课程教学计划、课程教学改革、课程安排等方面的意见和建议，以及对体育部教学管理工作的意见和建议。同时，参加座谈会的教师也要根据自己所任课程提出教学改革、提高教学质量的具体措施，共同探讨专业教学改革途径。</w:t>
      </w:r>
    </w:p>
    <w:p w14:paraId="0EC2776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教师座谈会可结合各教研室的教研活动召开，体育部领导分头参加各教研室、中心的座谈，并安排专人做好座谈会纪录。</w:t>
      </w:r>
    </w:p>
    <w:p w14:paraId="6B5EA16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各教研室召开教师座谈会的时间应提前告知体育部教学督导，教学督导应按时出席会议。</w:t>
      </w:r>
    </w:p>
    <w:p w14:paraId="721B9A0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对于座谈会教师反映的课程教学计划、课程教学改革、课程安排和教学管理等方面的意见和建议，教研室领导要进行认真分析研究：教研室能解决的，要限期提出解决问题的方法并组织；教研室无法解决的，要及时向体育部或有关主管部门反馈，并将反馈结果传达给提出问题的相应教师。</w:t>
      </w:r>
    </w:p>
    <w:p w14:paraId="0482E749">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各教研室于教师座谈会后一周内对座谈会提出问题的解决情况做出总结，并报体育部教学督导。</w:t>
      </w:r>
    </w:p>
    <w:p w14:paraId="3415F9A1">
      <w:pPr>
        <w:snapToGrid w:val="0"/>
        <w:spacing w:line="440" w:lineRule="exact"/>
        <w:ind w:firstLine="562" w:firstLineChars="200"/>
        <w:jc w:val="left"/>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lang w:val="en-US" w:eastAsia="zh-CN"/>
        </w:rPr>
        <w:t>三</w:t>
      </w:r>
      <w:r>
        <w:rPr>
          <w:rFonts w:hint="eastAsia" w:asciiTheme="minorEastAsia" w:hAnsiTheme="minorEastAsia" w:cstheme="minorEastAsia"/>
          <w:b/>
          <w:bCs/>
          <w:color w:val="auto"/>
          <w:kern w:val="0"/>
          <w:sz w:val="28"/>
          <w:szCs w:val="28"/>
          <w:highlight w:val="none"/>
        </w:rPr>
        <w:t>、随时接待学生、教师反馈情况</w:t>
      </w:r>
    </w:p>
    <w:p w14:paraId="710DB21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学生、教师在上述渠道不足以反映其对教学质量的意见和建议时，可随时向所在教研室反映，各教研室不得以任何理由加以拒绝。对学生和教师反映的情况要认真对待，并做出合理解决问题的承诺，对短期内无法解决的问题也要给予一个合理的答复。</w:t>
      </w:r>
    </w:p>
    <w:p w14:paraId="3D83561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7D635A67">
      <w:pPr>
        <w:snapToGrid w:val="0"/>
        <w:spacing w:line="440" w:lineRule="exact"/>
        <w:jc w:val="left"/>
        <w:rPr>
          <w:rFonts w:hint="eastAsia" w:asciiTheme="minorEastAsia" w:hAnsiTheme="minorEastAsia" w:cstheme="minorEastAsia"/>
          <w:color w:val="auto"/>
          <w:kern w:val="0"/>
          <w:sz w:val="28"/>
          <w:szCs w:val="28"/>
          <w:highlight w:val="none"/>
        </w:rPr>
      </w:pPr>
    </w:p>
    <w:p w14:paraId="6DAA0EA6">
      <w:pPr>
        <w:spacing w:line="440" w:lineRule="exact"/>
        <w:ind w:firstLine="5040" w:firstLineChars="1800"/>
        <w:rPr>
          <w:rFonts w:hint="eastAsia" w:asciiTheme="minorEastAsia" w:hAnsiTheme="minorEastAsia"/>
          <w:color w:val="auto"/>
          <w:sz w:val="28"/>
          <w:szCs w:val="28"/>
        </w:rPr>
      </w:pP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stheme="minorEastAsia"/>
          <w:color w:val="auto"/>
          <w:kern w:val="0"/>
          <w:sz w:val="28"/>
          <w:szCs w:val="28"/>
          <w:highlight w:val="none"/>
        </w:rPr>
        <w:t xml:space="preserve"> </w:t>
      </w: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olor w:val="auto"/>
          <w:sz w:val="28"/>
          <w:szCs w:val="28"/>
        </w:rPr>
        <w:t>体育部</w:t>
      </w:r>
    </w:p>
    <w:p w14:paraId="7FCC731B">
      <w:pPr>
        <w:snapToGrid w:val="0"/>
        <w:spacing w:line="440" w:lineRule="exact"/>
        <w:ind w:firstLine="560" w:firstLineChars="200"/>
        <w:jc w:val="right"/>
        <w:rPr>
          <w:rFonts w:asciiTheme="minorEastAsia" w:hAnsiTheme="minorEastAsia" w:cstheme="minorEastAsia"/>
          <w:color w:val="auto"/>
          <w:sz w:val="28"/>
          <w:szCs w:val="28"/>
          <w:highlight w:val="none"/>
        </w:rPr>
      </w:pP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 xml:space="preserve"> 年 </w:t>
      </w:r>
      <w:r>
        <w:rPr>
          <w:rFonts w:hint="eastAsia" w:ascii="Times New Roman" w:hAnsi="Times New Roman" w:eastAsia="宋体" w:cs="Times New Roman"/>
          <w:color w:val="auto"/>
          <w:sz w:val="28"/>
          <w:szCs w:val="28"/>
          <w:highlight w:val="none"/>
          <w:lang w:val="en-US" w:eastAsia="zh-CN"/>
        </w:rPr>
        <w:t>3</w:t>
      </w:r>
      <w:r>
        <w:rPr>
          <w:rFonts w:hint="eastAsia" w:ascii="宋体" w:hAnsi="宋体" w:eastAsia="宋体" w:cs="宋体"/>
          <w:color w:val="auto"/>
          <w:sz w:val="28"/>
          <w:szCs w:val="28"/>
          <w:highlight w:val="none"/>
        </w:rPr>
        <w:t>月</w:t>
      </w:r>
    </w:p>
    <w:p w14:paraId="348142AB">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15234E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3EF51A6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333A496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250C3FDD">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760D937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669B3230">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71522C37">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DE5CFA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6CD6EEA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64772E81">
      <w:pPr>
        <w:pStyle w:val="3"/>
        <w:spacing w:before="0" w:line="600" w:lineRule="exact"/>
        <w:ind w:left="0"/>
        <w:jc w:val="center"/>
        <w:rPr>
          <w:rFonts w:hint="default" w:ascii="华文中宋" w:hAnsi="华文中宋" w:eastAsia="华文中宋" w:cs="华文中宋"/>
          <w:b/>
          <w:bCs/>
          <w:color w:val="auto"/>
          <w:sz w:val="40"/>
          <w:szCs w:val="40"/>
        </w:rPr>
      </w:pPr>
      <w:bookmarkStart w:id="30" w:name="_Toc1569"/>
      <w:r>
        <w:rPr>
          <w:rFonts w:hint="eastAsia" w:ascii="华文中宋" w:hAnsi="华文中宋" w:eastAsia="华文中宋" w:cs="华文中宋"/>
          <w:b/>
          <w:bCs/>
          <w:color w:val="auto"/>
          <w:sz w:val="40"/>
          <w:szCs w:val="40"/>
          <w:lang w:val="en-US" w:eastAsia="zh-CN"/>
        </w:rPr>
        <w:t>体育部教师教育</w:t>
      </w:r>
      <w:r>
        <w:rPr>
          <w:rFonts w:ascii="华文中宋" w:hAnsi="华文中宋" w:eastAsia="华文中宋" w:cs="华文中宋"/>
          <w:b/>
          <w:bCs/>
          <w:color w:val="auto"/>
          <w:sz w:val="40"/>
          <w:szCs w:val="40"/>
        </w:rPr>
        <w:t>课程教学评价</w:t>
      </w:r>
      <w:r>
        <w:rPr>
          <w:rFonts w:hint="eastAsia" w:ascii="华文中宋" w:hAnsi="华文中宋" w:eastAsia="华文中宋" w:cs="华文中宋"/>
          <w:b/>
          <w:bCs/>
          <w:color w:val="auto"/>
          <w:sz w:val="40"/>
          <w:szCs w:val="40"/>
          <w:lang w:val="en-US" w:eastAsia="zh-CN"/>
        </w:rPr>
        <w:t>实施细则</w:t>
      </w:r>
      <w:bookmarkEnd w:id="30"/>
    </w:p>
    <w:p w14:paraId="7A294EE4">
      <w:pPr>
        <w:keepNext w:val="0"/>
        <w:keepLines w:val="0"/>
        <w:pageBreakBefore w:val="0"/>
        <w:widowControl w:val="0"/>
        <w:kinsoku/>
        <w:wordWrap/>
        <w:overflowPunct/>
        <w:topLinePunct w:val="0"/>
        <w:bidi w:val="0"/>
        <w:spacing w:before="0" w:line="430" w:lineRule="exact"/>
        <w:ind w:left="0"/>
        <w:jc w:val="both"/>
        <w:textAlignment w:val="auto"/>
        <w:outlineLvl w:val="9"/>
        <w:rPr>
          <w:rFonts w:hint="default" w:ascii="华文中宋" w:hAnsi="华文中宋" w:eastAsia="华文中宋" w:cs="华文中宋"/>
          <w:b/>
          <w:bCs/>
          <w:color w:val="auto"/>
          <w:sz w:val="40"/>
          <w:szCs w:val="40"/>
        </w:rPr>
      </w:pPr>
    </w:p>
    <w:p w14:paraId="632A4EB8">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为切实加强体育部教风建设，打造“金课”、淘汰“水课”，促进教师教育类课程教师教学能力的提升，全面提高师范专业教学质量，特根据《湖南女子学院教师课程教学评价办法（2023年修订）》并结合体育部师范专业教师教育类课程教学的实际制定本实施细则。</w:t>
      </w:r>
    </w:p>
    <w:p w14:paraId="4BB830F2">
      <w:pPr>
        <w:keepNext w:val="0"/>
        <w:keepLines w:val="0"/>
        <w:pageBreakBefore w:val="0"/>
        <w:widowControl w:val="0"/>
        <w:kinsoku/>
        <w:wordWrap/>
        <w:overflowPunct/>
        <w:topLinePunct w:val="0"/>
        <w:bidi w:val="0"/>
        <w:snapToGrid w:val="0"/>
        <w:spacing w:line="430" w:lineRule="exact"/>
        <w:ind w:firstLine="562"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一、教学评价组织实施</w:t>
      </w:r>
    </w:p>
    <w:p w14:paraId="3E145735">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师教育课程教学评价工作在主持工作体育部副主任的领导下进行。体育部成立教师教育课程教学评价工作小组，全面负责评价工作的组织领导。小组组长由主持工作体育部副主任担任，成员由体育部综合办公室、体育部教学督导、体育部教研室主任、教师代表等人员组成。</w:t>
      </w:r>
    </w:p>
    <w:p w14:paraId="3736459A">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教师教育课程教学评价由综合办公室具体负责评价工作的组织协调、检查督促等，相关责任人为综合办公室主任。</w:t>
      </w:r>
    </w:p>
    <w:p w14:paraId="59FFFCE8">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二、评价对象</w:t>
      </w:r>
    </w:p>
    <w:p w14:paraId="17488758">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每学期承担课程教学的所有教师（含外聘返聘教师）。</w:t>
      </w:r>
    </w:p>
    <w:p w14:paraId="22C037FF">
      <w:pPr>
        <w:keepNext w:val="0"/>
        <w:keepLines w:val="0"/>
        <w:pageBreakBefore w:val="0"/>
        <w:widowControl w:val="0"/>
        <w:kinsoku/>
        <w:wordWrap/>
        <w:overflowPunct/>
        <w:topLinePunct w:val="0"/>
        <w:bidi w:val="0"/>
        <w:snapToGrid w:val="0"/>
        <w:spacing w:line="430" w:lineRule="exact"/>
        <w:ind w:firstLine="562"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b/>
          <w:bCs/>
          <w:color w:val="auto"/>
          <w:kern w:val="0"/>
          <w:sz w:val="28"/>
          <w:szCs w:val="28"/>
          <w:highlight w:val="none"/>
        </w:rPr>
        <w:t>三、评价主体及评价原则</w:t>
      </w:r>
    </w:p>
    <w:p w14:paraId="60CF6C6C">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教师教学评价的主体由三类组成：学生评价、专家评价、管理人员评价。</w:t>
      </w:r>
    </w:p>
    <w:p w14:paraId="30D07F32">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评价坚持以学生学习为中心原则、可操作性原则分类构建评价量表，其中专家评价指标以能体现深层教法和表层教法的教师教学行为为主，学生评价指标以学生能感知的学习结果和能观测的教师教学行为为主，管理人员评价以教师完成课堂教学要求情况为主。</w:t>
      </w:r>
    </w:p>
    <w:p w14:paraId="7C9FB05D">
      <w:pPr>
        <w:keepNext w:val="0"/>
        <w:keepLines w:val="0"/>
        <w:pageBreakBefore w:val="0"/>
        <w:widowControl w:val="0"/>
        <w:kinsoku/>
        <w:wordWrap/>
        <w:overflowPunct/>
        <w:topLinePunct w:val="0"/>
        <w:bidi w:val="0"/>
        <w:snapToGrid w:val="0"/>
        <w:spacing w:line="430" w:lineRule="exact"/>
        <w:ind w:firstLine="562" w:firstLineChars="200"/>
        <w:jc w:val="left"/>
        <w:textAlignment w:val="auto"/>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四、评价内容</w:t>
      </w:r>
    </w:p>
    <w:p w14:paraId="65E4A329">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评价内容主要包括两个方面：</w:t>
      </w:r>
    </w:p>
    <w:p w14:paraId="6CD35432">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教师课程教学数量的评价，即教师完成安排的课程教学工作量的情况，包括讲授课程门数，每门课程的学时数等；</w:t>
      </w:r>
    </w:p>
    <w:p w14:paraId="330B76C6">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师课程教学质量的评价，包括课堂教学情况（含教学态度、教学内容、教学方法与手段、教学组织与管理、教学效果，注重课堂讲授纪律与规矩，加强课程思政与教学创新等）和其他教学环节情况（含教学资源、教案与授课计划、作业批改与课外辅导、听课与教研教改、考试环节等）。</w:t>
      </w:r>
    </w:p>
    <w:p w14:paraId="2A4723E7">
      <w:pPr>
        <w:keepNext w:val="0"/>
        <w:keepLines w:val="0"/>
        <w:pageBreakBefore w:val="0"/>
        <w:widowControl w:val="0"/>
        <w:kinsoku/>
        <w:wordWrap/>
        <w:overflowPunct/>
        <w:topLinePunct w:val="0"/>
        <w:bidi w:val="0"/>
        <w:snapToGrid w:val="0"/>
        <w:spacing w:line="430" w:lineRule="exact"/>
        <w:ind w:firstLine="562" w:firstLineChars="200"/>
        <w:jc w:val="left"/>
        <w:textAlignment w:val="auto"/>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五、评价方法</w:t>
      </w:r>
    </w:p>
    <w:p w14:paraId="1E83D9EA">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课程教学质量评价采取学生评价、督导评价、教研室与体育部综合办公室（含体育部领导）评价相结合的方法，对任课教师每学期的课程教学情况等进行全面评价。教师课程教学质量评价总分为100分，其中“学生评价”占</w:t>
      </w:r>
      <w:r>
        <w:rPr>
          <w:rFonts w:hint="eastAsia" w:asciiTheme="minorEastAsia" w:hAnsiTheme="minorEastAsia" w:cstheme="minorEastAsia"/>
          <w:color w:val="auto"/>
          <w:kern w:val="0"/>
          <w:sz w:val="28"/>
          <w:szCs w:val="28"/>
          <w:highlight w:val="none"/>
          <w:lang w:val="en-US" w:eastAsia="zh-CN"/>
        </w:rPr>
        <w:t>50</w:t>
      </w:r>
      <w:r>
        <w:rPr>
          <w:rFonts w:hint="eastAsia" w:asciiTheme="minorEastAsia" w:hAnsiTheme="minorEastAsia" w:cstheme="minorEastAsia"/>
          <w:color w:val="auto"/>
          <w:kern w:val="0"/>
          <w:sz w:val="28"/>
          <w:szCs w:val="28"/>
          <w:highlight w:val="none"/>
        </w:rPr>
        <w:t>%，“督导评价”占25%，“教研室评价”占25%，体育部综合办公室（含体育部领导）评价不占权重，仅作为扣分项计入总成绩。</w:t>
      </w:r>
    </w:p>
    <w:p w14:paraId="7BACD5E8">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（一）学生评价（占50％）</w:t>
      </w:r>
    </w:p>
    <w:p w14:paraId="01E571DC">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学生评价由任课班级学生通过网络评教完成，参加评教学生超过班级人数一半即为有效。根据学校规定的办法，每学期组织学生对上期所上教师教育课程或实践环节评教一次，春季学期开课的课程在秋季前4周完成、秋季学期开课的课程在春季学期前4周进行。</w:t>
      </w:r>
      <w:r>
        <w:rPr>
          <w:rFonts w:hint="eastAsia" w:asciiTheme="minorEastAsia" w:hAnsiTheme="minorEastAsia" w:cstheme="minorEastAsia"/>
          <w:color w:val="auto"/>
          <w:kern w:val="0"/>
          <w:sz w:val="28"/>
          <w:szCs w:val="28"/>
          <w:highlight w:val="none"/>
          <w:lang w:val="en-US" w:eastAsia="zh-CN"/>
        </w:rPr>
        <w:t>学生评价由各学院职能机构组织实施</w:t>
      </w:r>
      <w:r>
        <w:rPr>
          <w:rFonts w:hint="eastAsia" w:asciiTheme="minorEastAsia" w:hAnsiTheme="minorEastAsia" w:cstheme="minorEastAsia"/>
          <w:color w:val="auto"/>
          <w:kern w:val="0"/>
          <w:sz w:val="28"/>
          <w:szCs w:val="28"/>
          <w:highlight w:val="none"/>
        </w:rPr>
        <w:t>，引导学生客观公正地完成教学评价。学生评教需遵循如下规定：</w:t>
      </w:r>
    </w:p>
    <w:p w14:paraId="3E64DCA5">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学生依据《湖南女子学院教师课程教学学生评价标准》，对本班任课教师的教学态度、教学内容、教学方法与手段、教学效果等方面进行评价。</w:t>
      </w:r>
    </w:p>
    <w:p w14:paraId="6F73B1E2">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学生对任课教师先进行定性评价，分优秀、良好、合格、不合格四个等级（其中优秀等级教师人数原则上控制在该学期本班任课教师人数的40%—60%）；然后在相应等级的评分范围内对任课教师进行定量评价，优秀为90分及以上，良好为80 - 90分（不含90分），合格为60 - 80分（不含80分），不合格为60分以下。</w:t>
      </w:r>
    </w:p>
    <w:p w14:paraId="25DD416B">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学生评价得分统计方法</w:t>
      </w:r>
    </w:p>
    <w:p w14:paraId="5321E922">
      <w:pPr>
        <w:keepNext w:val="0"/>
        <w:keepLines w:val="0"/>
        <w:pageBreakBefore w:val="0"/>
        <w:widowControl w:val="0"/>
        <w:kinsoku/>
        <w:wordWrap/>
        <w:overflowPunct/>
        <w:topLinePunct w:val="0"/>
        <w:bidi w:val="0"/>
        <w:snapToGrid w:val="0"/>
        <w:spacing w:line="43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lang w:val="zh-CN"/>
        </w:rPr>
        <w:t xml:space="preserve">① </w:t>
      </w:r>
      <w:r>
        <w:rPr>
          <w:rFonts w:hint="eastAsia" w:ascii="宋体" w:hAnsi="宋体" w:eastAsia="宋体" w:cs="宋体"/>
          <w:color w:val="auto"/>
          <w:sz w:val="24"/>
        </w:rPr>
        <w:t>j学生对i教师的评分为X</w:t>
      </w:r>
      <w:r>
        <w:rPr>
          <w:rFonts w:hint="eastAsia" w:ascii="宋体" w:hAnsi="宋体" w:eastAsia="宋体" w:cs="宋体"/>
          <w:color w:val="auto"/>
          <w:sz w:val="24"/>
          <w:vertAlign w:val="subscript"/>
        </w:rPr>
        <w:t>ij</w:t>
      </w:r>
      <w:r>
        <w:rPr>
          <w:rFonts w:hint="eastAsia" w:ascii="宋体" w:hAnsi="宋体" w:eastAsia="宋体" w:cs="宋体"/>
          <w:color w:val="auto"/>
          <w:sz w:val="24"/>
        </w:rPr>
        <w:t>，k班级对i教师的评分为X</w:t>
      </w:r>
      <w:r>
        <w:rPr>
          <w:rFonts w:hint="eastAsia" w:ascii="宋体" w:hAnsi="宋体" w:eastAsia="宋体" w:cs="宋体"/>
          <w:color w:val="auto"/>
          <w:sz w:val="24"/>
          <w:vertAlign w:val="subscript"/>
        </w:rPr>
        <w:t>ik</w:t>
      </w:r>
      <w:r>
        <w:rPr>
          <w:rFonts w:hint="eastAsia" w:ascii="宋体" w:hAnsi="宋体" w:eastAsia="宋体" w:cs="宋体"/>
          <w:color w:val="auto"/>
          <w:sz w:val="24"/>
        </w:rPr>
        <w:t>，</w:t>
      </w:r>
    </w:p>
    <w:p w14:paraId="3F882D03">
      <w:pPr>
        <w:keepNext w:val="0"/>
        <w:keepLines w:val="0"/>
        <w:pageBreakBefore w:val="0"/>
        <w:widowControl w:val="0"/>
        <w:kinsoku/>
        <w:wordWrap/>
        <w:overflowPunct/>
        <w:topLinePunct w:val="0"/>
        <w:bidi w:val="0"/>
        <w:snapToGrid w:val="0"/>
        <w:spacing w:line="43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position w:val="-30"/>
          <w:sz w:val="24"/>
        </w:rPr>
        <w:object>
          <v:shape id="_x0000_i1025" o:spt="75" type="#_x0000_t75" style="height:35.7pt;width:175.6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p w14:paraId="5CB4CCF8">
      <w:pPr>
        <w:keepNext w:val="0"/>
        <w:keepLines w:val="0"/>
        <w:pageBreakBefore w:val="0"/>
        <w:widowControl w:val="0"/>
        <w:kinsoku/>
        <w:wordWrap/>
        <w:overflowPunct/>
        <w:topLinePunct w:val="0"/>
        <w:bidi w:val="0"/>
        <w:snapToGrid w:val="0"/>
        <w:spacing w:line="43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rPr>
        <w:t>② i教师学生评价的最后得分</w:t>
      </w:r>
    </w:p>
    <w:p w14:paraId="67BF2EC0">
      <w:pPr>
        <w:keepNext w:val="0"/>
        <w:keepLines w:val="0"/>
        <w:pageBreakBefore w:val="0"/>
        <w:widowControl w:val="0"/>
        <w:kinsoku/>
        <w:wordWrap/>
        <w:overflowPunct/>
        <w:topLinePunct w:val="0"/>
        <w:bidi w:val="0"/>
        <w:snapToGrid w:val="0"/>
        <w:spacing w:line="430" w:lineRule="exact"/>
        <w:ind w:firstLine="480" w:firstLineChars="200"/>
        <w:jc w:val="left"/>
        <w:textAlignment w:val="auto"/>
        <w:rPr>
          <w:rFonts w:hint="eastAsia" w:asciiTheme="minorEastAsia" w:hAnsiTheme="minorEastAsia" w:cstheme="minorEastAsia"/>
          <w:color w:val="auto"/>
          <w:kern w:val="0"/>
          <w:sz w:val="28"/>
          <w:szCs w:val="28"/>
          <w:highlight w:val="none"/>
        </w:rPr>
      </w:pPr>
      <w:r>
        <w:rPr>
          <w:rFonts w:hint="eastAsia" w:ascii="宋体" w:hAnsi="宋体" w:eastAsia="宋体" w:cs="宋体"/>
          <w:bCs/>
          <w:color w:val="auto"/>
          <w:sz w:val="24"/>
          <w:lang w:val="zh-CN"/>
        </w:rPr>
        <w:object>
          <v:shape id="_x0000_i1026" o:spt="75" type="#_x0000_t75" style="height:21.9pt;width:14.4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r>
        <w:rPr>
          <w:rFonts w:hint="eastAsia" w:ascii="宋体" w:hAnsi="宋体" w:eastAsia="宋体" w:cs="宋体"/>
          <w:color w:val="auto"/>
          <w:position w:val="-28"/>
          <w:sz w:val="24"/>
        </w:rPr>
        <w:object>
          <v:shape id="_x0000_i1027" o:spt="75" type="#_x0000_t75" style="height:33.4pt;width:163.6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p>
    <w:p w14:paraId="0B6D43DA">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（二）教学督导评价（占25％）</w:t>
      </w:r>
    </w:p>
    <w:p w14:paraId="56A99722">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学督导评价由体育部教学督导及学校督导指定负责体育部教学督导组织实施，教学督导依据《湖南女子学院教师课堂教学评价标准》，对体育部课程任课教师的课堂教学进行评价（其中优秀等级教师人数原则上控制在该学期任课教师人数的40%—50%）。评价通过学校评教网络提交完成。</w:t>
      </w:r>
    </w:p>
    <w:p w14:paraId="76373387">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教学督导评价得分统计方法</w:t>
      </w:r>
    </w:p>
    <w:p w14:paraId="4FE29C89">
      <w:pPr>
        <w:keepNext w:val="0"/>
        <w:keepLines w:val="0"/>
        <w:pageBreakBefore w:val="0"/>
        <w:widowControl w:val="0"/>
        <w:kinsoku/>
        <w:wordWrap/>
        <w:overflowPunct/>
        <w:topLinePunct w:val="0"/>
        <w:autoSpaceDE w:val="0"/>
        <w:autoSpaceDN w:val="0"/>
        <w:bidi w:val="0"/>
        <w:adjustRightInd w:val="0"/>
        <w:snapToGrid w:val="0"/>
        <w:spacing w:line="430" w:lineRule="exact"/>
        <w:ind w:firstLine="480" w:firstLineChars="200"/>
        <w:textAlignment w:val="auto"/>
        <w:rPr>
          <w:rFonts w:ascii="宋体" w:hAnsi="宋体" w:eastAsia="宋体" w:cs="宋体"/>
          <w:bCs/>
          <w:color w:val="auto"/>
          <w:sz w:val="24"/>
          <w:lang w:val="zh-CN"/>
        </w:rPr>
      </w:pPr>
      <w:r>
        <w:rPr>
          <w:rFonts w:hint="eastAsia" w:ascii="宋体" w:hAnsi="宋体" w:eastAsia="宋体" w:cs="宋体"/>
          <w:bCs/>
          <w:color w:val="auto"/>
          <w:sz w:val="24"/>
          <w:lang w:val="zh-CN"/>
        </w:rPr>
        <w:t>①j督导员对i教师的评分U</w:t>
      </w:r>
      <w:r>
        <w:rPr>
          <w:rFonts w:hint="eastAsia" w:ascii="宋体" w:hAnsi="宋体" w:eastAsia="宋体" w:cs="宋体"/>
          <w:bCs/>
          <w:color w:val="auto"/>
          <w:sz w:val="24"/>
          <w:vertAlign w:val="subscript"/>
          <w:lang w:val="zh-CN"/>
        </w:rPr>
        <w:t>ij</w:t>
      </w:r>
    </w:p>
    <w:p w14:paraId="43D59EBA">
      <w:pPr>
        <w:keepNext w:val="0"/>
        <w:keepLines w:val="0"/>
        <w:pageBreakBefore w:val="0"/>
        <w:widowControl w:val="0"/>
        <w:kinsoku/>
        <w:wordWrap/>
        <w:overflowPunct/>
        <w:topLinePunct w:val="0"/>
        <w:autoSpaceDE w:val="0"/>
        <w:autoSpaceDN w:val="0"/>
        <w:bidi w:val="0"/>
        <w:adjustRightInd w:val="0"/>
        <w:snapToGrid w:val="0"/>
        <w:spacing w:line="430" w:lineRule="exact"/>
        <w:ind w:firstLine="480" w:firstLineChars="200"/>
        <w:textAlignment w:val="auto"/>
        <w:rPr>
          <w:rFonts w:ascii="宋体" w:hAnsi="宋体" w:eastAsia="宋体" w:cs="宋体"/>
          <w:bCs/>
          <w:color w:val="auto"/>
          <w:sz w:val="24"/>
        </w:rPr>
      </w:pPr>
      <w:r>
        <w:rPr>
          <w:rFonts w:hint="eastAsia" w:ascii="宋体" w:hAnsi="宋体" w:eastAsia="宋体" w:cs="宋体"/>
          <w:bCs/>
          <w:color w:val="auto"/>
          <w:sz w:val="24"/>
          <w:lang w:val="zh-CN"/>
        </w:rPr>
        <w:t>②i教师教学督导评价的最后得分</w:t>
      </w:r>
    </w:p>
    <w:p w14:paraId="69C14FB9">
      <w:pPr>
        <w:keepNext w:val="0"/>
        <w:keepLines w:val="0"/>
        <w:pageBreakBefore w:val="0"/>
        <w:widowControl w:val="0"/>
        <w:kinsoku/>
        <w:wordWrap/>
        <w:overflowPunct/>
        <w:topLinePunct w:val="0"/>
        <w:bidi w:val="0"/>
        <w:snapToGrid w:val="0"/>
        <w:spacing w:line="430" w:lineRule="exact"/>
        <w:ind w:firstLine="480" w:firstLineChars="200"/>
        <w:jc w:val="left"/>
        <w:textAlignment w:val="auto"/>
        <w:rPr>
          <w:rFonts w:hint="eastAsia" w:asciiTheme="minorEastAsia" w:hAnsiTheme="minorEastAsia" w:cstheme="minorEastAsia"/>
          <w:color w:val="auto"/>
          <w:kern w:val="0"/>
          <w:sz w:val="28"/>
          <w:szCs w:val="28"/>
          <w:highlight w:val="none"/>
        </w:rPr>
      </w:pPr>
      <w:r>
        <w:rPr>
          <w:rFonts w:hint="eastAsia" w:ascii="宋体" w:hAnsi="宋体" w:eastAsia="宋体" w:cs="宋体"/>
          <w:bCs/>
          <w:color w:val="auto"/>
          <w:position w:val="-6"/>
          <w:sz w:val="24"/>
          <w:lang w:val="zh-CN"/>
        </w:rPr>
        <w:object>
          <v:shape id="_x0000_i1028" o:spt="75" type="#_x0000_t75" style="height:21.9pt;width:16.15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r>
        <w:rPr>
          <w:rFonts w:hint="eastAsia" w:ascii="宋体" w:hAnsi="宋体" w:eastAsia="宋体" w:cs="宋体"/>
          <w:color w:val="auto"/>
          <w:position w:val="-30"/>
          <w:sz w:val="24"/>
        </w:rPr>
        <w:object>
          <v:shape id="_x0000_i1029" o:spt="75" type="#_x0000_t75" style="height:38.6pt;width:46.65pt;" o:ole="t"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9" r:id="rId18">
            <o:LockedField>false</o:LockedField>
          </o:OLEObject>
        </w:object>
      </w:r>
      <w:r>
        <w:rPr>
          <w:rFonts w:hint="eastAsia" w:ascii="宋体" w:hAnsi="宋体" w:eastAsia="宋体" w:cs="宋体"/>
          <w:bCs/>
          <w:color w:val="auto"/>
          <w:sz w:val="24"/>
          <w:lang w:val="zh-CN"/>
        </w:rPr>
        <w:t>（n为分管i教师的督导人数）</w:t>
      </w:r>
      <w:r>
        <w:rPr>
          <w:rFonts w:hint="eastAsia" w:ascii="宋体" w:hAnsi="宋体" w:eastAsia="宋体" w:cs="宋体"/>
          <w:color w:val="auto"/>
          <w:position w:val="-10"/>
          <w:sz w:val="24"/>
        </w:rPr>
        <w:object>
          <v:shape id="_x0000_i1030" o:spt="75" type="#_x0000_t75" style="height:17.3pt;width:9.2pt;" o:ole="t" filled="f" o:preferrelative="t" stroked="f" coordsize="21600,21600">
            <v:path/>
            <v:fill on="f" focussize="0,0"/>
            <v:stroke on="f" joinstyle="miter"/>
            <v:imagedata r:id="rId21" o:title=""/>
            <o:lock v:ext="edit" aspectratio="t"/>
            <w10:wrap type="none"/>
            <w10:anchorlock/>
          </v:shape>
          <o:OLEObject Type="Embed" ProgID="Equation.3" ShapeID="_x0000_i1030" DrawAspect="Content" ObjectID="_1468075730" r:id="rId20">
            <o:LockedField>false</o:LockedField>
          </o:OLEObject>
        </w:object>
      </w:r>
    </w:p>
    <w:p w14:paraId="546FAB1A">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（三）教研室评价（占25％）</w:t>
      </w:r>
    </w:p>
    <w:p w14:paraId="165A54E6">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研室评价”由教师所在教研室主任及专业负责人组织实施，依据《湖南女子学院教师课程教学教学单位评价标准》对教师的教师教育课程教学进行单独评价（不考虑总工作量是否完成），评价主要从课堂教学、教案与授课计划、作业批改与课外辅导、听课与教研活动、考试环节等方面的教学质量与表现进行综合评价，其中承担教师教育类课程的教师本项评优必须符合以下条件中的两项：</w:t>
      </w:r>
    </w:p>
    <w:p w14:paraId="2B37FA0E">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学期至少听5次课，且至少听3位教师教育课程教师的课；</w:t>
      </w:r>
    </w:p>
    <w:p w14:paraId="35449D18">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在教研室开展的教学研讨及磨课中应至少有1次作为主讲；</w:t>
      </w:r>
    </w:p>
    <w:p w14:paraId="238BA6DE">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评价结果在本教学单位内公示后，由教研室主任按要求提交至综合办公室。</w:t>
      </w:r>
    </w:p>
    <w:p w14:paraId="27805A23">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教研室评价得分统计方法</w:t>
      </w:r>
    </w:p>
    <w:p w14:paraId="1D1373BF">
      <w:pPr>
        <w:keepNext w:val="0"/>
        <w:keepLines w:val="0"/>
        <w:pageBreakBefore w:val="0"/>
        <w:widowControl w:val="0"/>
        <w:kinsoku/>
        <w:wordWrap/>
        <w:overflowPunct/>
        <w:topLinePunct w:val="0"/>
        <w:bidi w:val="0"/>
        <w:snapToGrid w:val="0"/>
        <w:spacing w:line="430" w:lineRule="exact"/>
        <w:ind w:firstLine="480" w:firstLineChars="200"/>
        <w:textAlignment w:val="auto"/>
        <w:rPr>
          <w:rFonts w:ascii="宋体" w:hAnsi="宋体" w:eastAsia="宋体" w:cs="宋体"/>
          <w:bCs/>
          <w:color w:val="auto"/>
          <w:sz w:val="24"/>
          <w:lang w:val="zh-CN"/>
        </w:rPr>
      </w:pPr>
      <w:r>
        <w:rPr>
          <w:rFonts w:hint="eastAsia" w:ascii="宋体" w:hAnsi="宋体" w:eastAsia="宋体" w:cs="宋体"/>
          <w:bCs/>
          <w:color w:val="auto"/>
          <w:sz w:val="24"/>
          <w:lang w:val="zh-CN"/>
        </w:rPr>
        <w:t>①j</w:t>
      </w:r>
      <w:r>
        <w:rPr>
          <w:rFonts w:hint="eastAsia" w:ascii="宋体" w:hAnsi="宋体" w:eastAsia="宋体" w:cs="宋体"/>
          <w:bCs/>
          <w:color w:val="auto"/>
          <w:sz w:val="24"/>
          <w:lang w:val="en-US" w:eastAsia="zh-CN"/>
        </w:rPr>
        <w:t>教研室主任、专业负责人及教师代表</w:t>
      </w:r>
      <w:r>
        <w:rPr>
          <w:rFonts w:hint="eastAsia" w:ascii="宋体" w:hAnsi="宋体" w:eastAsia="宋体" w:cs="宋体"/>
          <w:bCs/>
          <w:color w:val="auto"/>
          <w:sz w:val="24"/>
          <w:lang w:val="zh-CN"/>
        </w:rPr>
        <w:t>对i教师的评分T</w:t>
      </w:r>
      <w:r>
        <w:rPr>
          <w:rFonts w:hint="eastAsia" w:ascii="宋体" w:hAnsi="宋体" w:eastAsia="宋体" w:cs="宋体"/>
          <w:color w:val="auto"/>
          <w:sz w:val="24"/>
          <w:vertAlign w:val="subscript"/>
        </w:rPr>
        <w:t>ij</w:t>
      </w:r>
    </w:p>
    <w:p w14:paraId="6B68C47A">
      <w:pPr>
        <w:keepNext w:val="0"/>
        <w:keepLines w:val="0"/>
        <w:pageBreakBefore w:val="0"/>
        <w:widowControl w:val="0"/>
        <w:kinsoku/>
        <w:wordWrap/>
        <w:overflowPunct/>
        <w:topLinePunct w:val="0"/>
        <w:autoSpaceDE w:val="0"/>
        <w:autoSpaceDN w:val="0"/>
        <w:bidi w:val="0"/>
        <w:adjustRightInd w:val="0"/>
        <w:snapToGrid w:val="0"/>
        <w:spacing w:line="430" w:lineRule="exact"/>
        <w:ind w:firstLine="480" w:firstLineChars="200"/>
        <w:textAlignment w:val="auto"/>
        <w:rPr>
          <w:rFonts w:ascii="宋体" w:hAnsi="宋体" w:eastAsia="宋体" w:cs="宋体"/>
          <w:bCs/>
          <w:color w:val="auto"/>
          <w:sz w:val="24"/>
          <w:lang w:val="zh-CN"/>
        </w:rPr>
      </w:pPr>
      <w:r>
        <w:rPr>
          <w:rFonts w:hint="eastAsia" w:ascii="宋体" w:hAnsi="宋体" w:eastAsia="宋体" w:cs="宋体"/>
          <w:bCs/>
          <w:color w:val="auto"/>
          <w:sz w:val="24"/>
          <w:lang w:val="zh-CN"/>
        </w:rPr>
        <w:t>②i</w:t>
      </w:r>
      <w:r>
        <w:rPr>
          <w:rFonts w:hint="eastAsia" w:ascii="宋体" w:hAnsi="宋体" w:eastAsia="宋体" w:cs="宋体"/>
          <w:bCs/>
          <w:color w:val="auto"/>
          <w:sz w:val="24"/>
          <w:lang w:val="en-US" w:eastAsia="zh-CN"/>
        </w:rPr>
        <w:t>教研室</w:t>
      </w:r>
      <w:r>
        <w:rPr>
          <w:rFonts w:hint="eastAsia" w:ascii="宋体" w:hAnsi="宋体" w:eastAsia="宋体" w:cs="宋体"/>
          <w:bCs/>
          <w:color w:val="auto"/>
          <w:sz w:val="24"/>
          <w:lang w:val="zh-CN"/>
        </w:rPr>
        <w:t>评价的最后得分</w:t>
      </w:r>
    </w:p>
    <w:p w14:paraId="2BBFA7EF">
      <w:pPr>
        <w:keepNext w:val="0"/>
        <w:keepLines w:val="0"/>
        <w:pageBreakBefore w:val="0"/>
        <w:widowControl w:val="0"/>
        <w:kinsoku/>
        <w:wordWrap/>
        <w:overflowPunct/>
        <w:topLinePunct w:val="0"/>
        <w:bidi w:val="0"/>
        <w:snapToGrid w:val="0"/>
        <w:spacing w:line="430" w:lineRule="exact"/>
        <w:ind w:firstLine="480" w:firstLineChars="200"/>
        <w:textAlignment w:val="auto"/>
        <w:rPr>
          <w:rFonts w:hint="eastAsia" w:asciiTheme="minorEastAsia" w:hAnsiTheme="minorEastAsia" w:cstheme="minorEastAsia"/>
          <w:color w:val="auto"/>
          <w:kern w:val="0"/>
          <w:sz w:val="28"/>
          <w:szCs w:val="28"/>
          <w:highlight w:val="none"/>
        </w:rPr>
      </w:pPr>
      <w:r>
        <w:rPr>
          <w:rFonts w:hint="eastAsia" w:ascii="宋体" w:hAnsi="宋体" w:eastAsia="宋体" w:cs="宋体"/>
          <w:bCs/>
          <w:color w:val="auto"/>
          <w:position w:val="-6"/>
          <w:sz w:val="24"/>
          <w:lang w:val="zh-CN"/>
        </w:rPr>
        <w:object>
          <v:shape id="_x0000_i1031" o:spt="75" type="#_x0000_t75" style="height:21.9pt;width:14.1pt;" o:ole="t" filled="f" o:preferrelative="t" stroked="f" coordsize="21600,21600">
            <v:path/>
            <v:fill on="f" focussize="0,0"/>
            <v:stroke on="f" joinstyle="miter"/>
            <v:imagedata r:id="rId23" o:title=""/>
            <o:lock v:ext="edit" aspectratio="t"/>
            <w10:wrap type="none"/>
            <w10:anchorlock/>
          </v:shape>
          <o:OLEObject Type="Embed" ProgID="Equation.3" ShapeID="_x0000_i1031" DrawAspect="Content" ObjectID="_1468075731" r:id="rId22">
            <o:LockedField>false</o:LockedField>
          </o:OLEObject>
        </w:object>
      </w:r>
      <w:r>
        <w:rPr>
          <w:rFonts w:hint="eastAsia" w:ascii="宋体" w:hAnsi="宋体" w:eastAsia="宋体" w:cs="宋体"/>
          <w:color w:val="auto"/>
          <w:position w:val="-30"/>
          <w:sz w:val="24"/>
        </w:rPr>
        <w:object>
          <v:shape id="_x0000_i1032" o:spt="75" type="#_x0000_t75" style="height:38.6pt;width:44.85pt;" o:ole="t" filled="f" o:preferrelative="t" stroked="f" coordsize="21600,21600">
            <v:path/>
            <v:fill on="f" focussize="0,0"/>
            <v:stroke on="f" joinstyle="miter"/>
            <v:imagedata r:id="rId25" o:title=""/>
            <o:lock v:ext="edit" aspectratio="t"/>
            <w10:wrap type="none"/>
            <w10:anchorlock/>
          </v:shape>
          <o:OLEObject Type="Embed" ProgID="Equation.3" ShapeID="_x0000_i1032" DrawAspect="Content" ObjectID="_1468075732" r:id="rId24">
            <o:LockedField>false</o:LockedField>
          </o:OLEObject>
        </w:object>
      </w:r>
      <w:r>
        <w:rPr>
          <w:rFonts w:hint="eastAsia" w:ascii="宋体" w:hAnsi="宋体" w:eastAsia="宋体" w:cs="宋体"/>
          <w:color w:val="auto"/>
          <w:sz w:val="24"/>
        </w:rPr>
        <w:t>（</w:t>
      </w:r>
      <w:r>
        <w:rPr>
          <w:rFonts w:hint="eastAsia" w:ascii="宋体" w:hAnsi="宋体" w:eastAsia="宋体" w:cs="宋体"/>
          <w:bCs/>
          <w:color w:val="auto"/>
          <w:sz w:val="24"/>
        </w:rPr>
        <w:t>n</w:t>
      </w:r>
      <w:r>
        <w:rPr>
          <w:rFonts w:hint="eastAsia" w:ascii="宋体" w:hAnsi="宋体" w:eastAsia="宋体" w:cs="宋体"/>
          <w:bCs/>
          <w:color w:val="auto"/>
          <w:sz w:val="24"/>
          <w:lang w:val="zh-CN"/>
        </w:rPr>
        <w:t>为参评人数）</w:t>
      </w:r>
    </w:p>
    <w:p w14:paraId="1BBA9BA2">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（n为参评人数）</w:t>
      </w:r>
    </w:p>
    <w:p w14:paraId="0A3296D8">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（四）综合办公室评价</w:t>
      </w:r>
    </w:p>
    <w:p w14:paraId="2E67FA6A">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综合办公室根据日常教学检查巡查、专项督查、认证评估等工作通报情况，对出现严重问题的教师教育类课程的任课教师予以扣分。教师出现一般和严重教学事故每次分别扣5分、10分，教师在学校审核评估、领导听课巡课以及日常教学检查、专项督查中受到点名批评予以酌情扣分。</w:t>
      </w:r>
    </w:p>
    <w:p w14:paraId="2834A925">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在承担教师教育课程期间，若教师存在严重师德师风问题，教师综合评分直接扣减40分。</w:t>
      </w:r>
    </w:p>
    <w:p w14:paraId="1B9407FB">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（五）教师课程教学评价综合评分</w:t>
      </w:r>
    </w:p>
    <w:p w14:paraId="354F7770">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师课程教学评价综合评分统计工作由教师教师课程教学评价工作小组指定综合办公室负责。教师课程教学评价最终得分为学生评价、教学单位评价、教学督导评价得分分别乘以相应权重后所得分之和，减去教学管理部门评价所扣分。</w:t>
      </w:r>
    </w:p>
    <w:p w14:paraId="50D58DA5">
      <w:pPr>
        <w:keepNext w:val="0"/>
        <w:keepLines w:val="0"/>
        <w:pageBreakBefore w:val="0"/>
        <w:widowControl w:val="0"/>
        <w:kinsoku/>
        <w:wordWrap/>
        <w:overflowPunct/>
        <w:topLinePunct w:val="0"/>
        <w:bidi w:val="0"/>
        <w:snapToGrid w:val="0"/>
        <w:spacing w:line="430" w:lineRule="exact"/>
        <w:ind w:firstLine="562" w:firstLineChars="200"/>
        <w:jc w:val="left"/>
        <w:textAlignment w:val="auto"/>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六、评价等级确定</w:t>
      </w:r>
    </w:p>
    <w:p w14:paraId="28112B62">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教师课程教学评价结果分为优秀、良好、合格、不合格四个等级。评价等级标准：优秀为90分及以上，良好为80 - 90分（不含90分），合格为60 - 80分（不含80分），不合格为60分以下。</w:t>
      </w:r>
    </w:p>
    <w:p w14:paraId="64990B3E">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有下列情况之一者不得评为优秀等级：学期内出现一般教学事故和师德师风问题者；当年受到学校通报批评及以上处分者。</w:t>
      </w:r>
    </w:p>
    <w:p w14:paraId="3F41BC8F">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有下列情况之一者评为不合格等级：凡教学内容有违四项基本原则或其他意识形态问题者；学期内出现重大教学事故和严重师德师风问题者；学期内学生评价得分低于60分者。</w:t>
      </w:r>
    </w:p>
    <w:p w14:paraId="686CDBEC">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综合办公室根据教师课程教学评价综合评分情况初步确定评价等级，报体育部教师教师课程教学评价工作小组审议。每学期综合办公室可根据评教实际情况对评价分数予以加权处理，适当调整评价等级，以保证优良率在合理区间范围。</w:t>
      </w:r>
    </w:p>
    <w:p w14:paraId="66864EBE">
      <w:pPr>
        <w:keepNext w:val="0"/>
        <w:keepLines w:val="0"/>
        <w:pageBreakBefore w:val="0"/>
        <w:widowControl w:val="0"/>
        <w:kinsoku/>
        <w:wordWrap/>
        <w:overflowPunct/>
        <w:topLinePunct w:val="0"/>
        <w:bidi w:val="0"/>
        <w:snapToGrid w:val="0"/>
        <w:spacing w:line="430" w:lineRule="exact"/>
        <w:ind w:firstLine="562" w:firstLineChars="200"/>
        <w:jc w:val="left"/>
        <w:textAlignment w:val="auto"/>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七、评价结果使用</w:t>
      </w:r>
    </w:p>
    <w:p w14:paraId="73BAC95E">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教师课程教学评价结果向全体育部公布，并纳入进全体育部教师课程教学评价体系之内提交至学校教学质量监控与评价中心，结果作为教师岗位聘任、职称评定、评优评先、绩效考核等的重要依据。</w:t>
      </w:r>
    </w:p>
    <w:p w14:paraId="11CA7BE0">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教师每学期的学生评价结论和在教学过程中存在的主要问题由教师本人进入教务系统查看，督导与教研室的评价结果及提出的问题由综合办公室反馈给教师本人。</w:t>
      </w:r>
    </w:p>
    <w:p w14:paraId="5ACCDF29">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体育部遴选得分最高的教师教育课程教师参与体育部示范教学活动；对学生反映问题比较集中的教师进行跟踪听课；对评价结论为不合格者，暂停任教并要求整改。</w:t>
      </w:r>
    </w:p>
    <w:p w14:paraId="0552DA86">
      <w:pPr>
        <w:keepNext w:val="0"/>
        <w:keepLines w:val="0"/>
        <w:pageBreakBefore w:val="0"/>
        <w:widowControl w:val="0"/>
        <w:kinsoku/>
        <w:wordWrap/>
        <w:overflowPunct/>
        <w:topLinePunct w:val="0"/>
        <w:bidi w:val="0"/>
        <w:snapToGrid w:val="0"/>
        <w:spacing w:line="430" w:lineRule="exact"/>
        <w:ind w:firstLine="562" w:firstLineChars="200"/>
        <w:jc w:val="left"/>
        <w:textAlignment w:val="auto"/>
        <w:rPr>
          <w:rFonts w:hint="eastAsia" w:asciiTheme="minorEastAsia" w:hAnsiTheme="minorEastAsia" w:cstheme="minorEastAsia"/>
          <w:b/>
          <w:bCs/>
          <w:color w:val="auto"/>
          <w:kern w:val="0"/>
          <w:sz w:val="28"/>
          <w:szCs w:val="28"/>
          <w:highlight w:val="none"/>
        </w:rPr>
      </w:pPr>
      <w:r>
        <w:rPr>
          <w:rFonts w:hint="eastAsia" w:asciiTheme="minorEastAsia" w:hAnsiTheme="minorEastAsia" w:cstheme="minorEastAsia"/>
          <w:b/>
          <w:bCs/>
          <w:color w:val="auto"/>
          <w:kern w:val="0"/>
          <w:sz w:val="28"/>
          <w:szCs w:val="28"/>
          <w:highlight w:val="none"/>
        </w:rPr>
        <w:t>八、附则</w:t>
      </w:r>
    </w:p>
    <w:p w14:paraId="05E1C66E">
      <w:pPr>
        <w:keepNext w:val="0"/>
        <w:keepLines w:val="0"/>
        <w:pageBreakBefore w:val="0"/>
        <w:widowControl w:val="0"/>
        <w:kinsoku/>
        <w:wordWrap/>
        <w:overflowPunct/>
        <w:topLinePunct w:val="0"/>
        <w:bidi w:val="0"/>
        <w:snapToGrid w:val="0"/>
        <w:spacing w:line="430" w:lineRule="exact"/>
        <w:ind w:firstLine="560" w:firstLineChars="200"/>
        <w:jc w:val="left"/>
        <w:textAlignment w:val="auto"/>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教师对评价结果有异议者，可在结果公示一周</w:t>
      </w:r>
    </w:p>
    <w:p w14:paraId="45235424">
      <w:pPr>
        <w:keepNext w:val="0"/>
        <w:keepLines w:val="0"/>
        <w:pageBreakBefore w:val="0"/>
        <w:widowControl w:val="0"/>
        <w:kinsoku/>
        <w:wordWrap/>
        <w:overflowPunct/>
        <w:topLinePunct w:val="0"/>
        <w:bidi w:val="0"/>
        <w:spacing w:line="440" w:lineRule="exact"/>
        <w:ind w:left="7267" w:leftChars="2394" w:hanging="2240" w:hangingChars="800"/>
        <w:textAlignment w:val="auto"/>
        <w:rPr>
          <w:rFonts w:hint="eastAsia" w:asciiTheme="minorEastAsia" w:hAnsiTheme="minorEastAsia" w:cstheme="minorEastAsia"/>
          <w:color w:val="auto"/>
          <w:kern w:val="0"/>
          <w:sz w:val="28"/>
          <w:szCs w:val="28"/>
          <w:highlight w:val="none"/>
          <w:lang w:val="en-US" w:eastAsia="zh-CN"/>
        </w:rPr>
      </w:pPr>
      <w:r>
        <w:rPr>
          <w:rFonts w:hint="eastAsia" w:asciiTheme="minorEastAsia" w:hAnsiTheme="minorEastAsia" w:cstheme="minorEastAsia"/>
          <w:color w:val="auto"/>
          <w:kern w:val="0"/>
          <w:sz w:val="28"/>
          <w:szCs w:val="28"/>
          <w:highlight w:val="none"/>
          <w:lang w:val="en-US" w:eastAsia="zh-CN"/>
        </w:rPr>
        <w:t xml:space="preserve">                          </w:t>
      </w:r>
    </w:p>
    <w:p w14:paraId="32D92216">
      <w:pPr>
        <w:keepNext w:val="0"/>
        <w:keepLines w:val="0"/>
        <w:pageBreakBefore w:val="0"/>
        <w:widowControl w:val="0"/>
        <w:kinsoku/>
        <w:wordWrap/>
        <w:overflowPunct/>
        <w:topLinePunct w:val="0"/>
        <w:bidi w:val="0"/>
        <w:spacing w:line="440" w:lineRule="exact"/>
        <w:ind w:left="7263" w:leftChars="3192" w:hanging="560" w:hangingChars="200"/>
        <w:textAlignment w:val="auto"/>
        <w:rPr>
          <w:rFonts w:hint="eastAsia" w:asciiTheme="minorEastAsia" w:hAnsiTheme="minorEastAsia"/>
          <w:color w:val="auto"/>
          <w:sz w:val="28"/>
          <w:szCs w:val="28"/>
        </w:rPr>
      </w:pPr>
      <w:r>
        <w:rPr>
          <w:rFonts w:hint="eastAsia" w:asciiTheme="minorEastAsia" w:hAnsiTheme="minorEastAsia"/>
          <w:color w:val="auto"/>
          <w:sz w:val="28"/>
          <w:szCs w:val="28"/>
        </w:rPr>
        <w:t>体育部</w:t>
      </w:r>
    </w:p>
    <w:p w14:paraId="017276EA">
      <w:pPr>
        <w:keepNext w:val="0"/>
        <w:keepLines w:val="0"/>
        <w:pageBreakBefore w:val="0"/>
        <w:widowControl w:val="0"/>
        <w:kinsoku/>
        <w:wordWrap/>
        <w:overflowPunct/>
        <w:topLinePunct w:val="0"/>
        <w:bidi w:val="0"/>
        <w:snapToGrid w:val="0"/>
        <w:spacing w:line="440" w:lineRule="exact"/>
        <w:jc w:val="left"/>
        <w:textAlignment w:val="auto"/>
        <w:rPr>
          <w:rFonts w:hint="default" w:asciiTheme="minorEastAsia" w:hAnsiTheme="minorEastAsia" w:eastAsiaTheme="minorEastAsia" w:cstheme="minorEastAsia"/>
          <w:color w:val="auto"/>
          <w:kern w:val="0"/>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 xml:space="preserve"> 年 </w:t>
      </w:r>
      <w:r>
        <w:rPr>
          <w:rFonts w:hint="eastAsia" w:ascii="Times New Roman" w:hAnsi="Times New Roman" w:eastAsia="宋体" w:cs="Times New Roman"/>
          <w:color w:val="auto"/>
          <w:sz w:val="28"/>
          <w:szCs w:val="28"/>
          <w:highlight w:val="none"/>
          <w:lang w:val="en-US" w:eastAsia="zh-CN"/>
        </w:rPr>
        <w:t>3</w:t>
      </w:r>
      <w:r>
        <w:rPr>
          <w:rFonts w:hint="eastAsia" w:ascii="宋体" w:hAnsi="宋体" w:eastAsia="宋体" w:cs="宋体"/>
          <w:color w:val="auto"/>
          <w:sz w:val="28"/>
          <w:szCs w:val="28"/>
          <w:highlight w:val="none"/>
        </w:rPr>
        <w:t>月</w:t>
      </w:r>
    </w:p>
    <w:p w14:paraId="74AB60E0">
      <w:pPr>
        <w:autoSpaceDE w:val="0"/>
        <w:autoSpaceDN w:val="0"/>
        <w:adjustRightInd w:val="0"/>
        <w:snapToGrid w:val="0"/>
        <w:spacing w:line="460" w:lineRule="exact"/>
        <w:rPr>
          <w:rFonts w:ascii="宋体" w:hAnsi="宋体" w:eastAsia="宋体" w:cs="宋体"/>
          <w:bCs/>
          <w:color w:val="auto"/>
          <w:sz w:val="24"/>
          <w:lang w:val="zh-CN"/>
        </w:rPr>
      </w:pPr>
      <w:r>
        <w:rPr>
          <w:rFonts w:hint="eastAsia" w:ascii="宋体" w:hAnsi="宋体" w:eastAsia="宋体" w:cs="宋体"/>
          <w:bCs/>
          <w:color w:val="auto"/>
          <w:sz w:val="24"/>
          <w:lang w:val="zh-CN"/>
        </w:rPr>
        <w:t>附件</w:t>
      </w:r>
      <w:r>
        <w:rPr>
          <w:rFonts w:hint="eastAsia" w:ascii="宋体" w:hAnsi="宋体" w:eastAsia="宋体" w:cs="宋体"/>
          <w:bCs/>
          <w:color w:val="auto"/>
          <w:sz w:val="24"/>
          <w:lang w:val="en-US" w:eastAsia="zh-CN"/>
        </w:rPr>
        <w:t>1</w:t>
      </w:r>
      <w:r>
        <w:rPr>
          <w:rFonts w:hint="eastAsia" w:ascii="宋体" w:hAnsi="宋体" w:eastAsia="宋体" w:cs="宋体"/>
          <w:bCs/>
          <w:color w:val="auto"/>
          <w:sz w:val="24"/>
          <w:lang w:val="zh-CN"/>
        </w:rPr>
        <w:t>：</w:t>
      </w:r>
    </w:p>
    <w:p w14:paraId="774D0630">
      <w:pPr>
        <w:jc w:val="center"/>
        <w:rPr>
          <w:rFonts w:ascii="黑体" w:hAnsi="宋体" w:eastAsia="黑体"/>
          <w:b/>
          <w:bCs/>
          <w:color w:val="auto"/>
          <w:sz w:val="44"/>
          <w:szCs w:val="44"/>
        </w:rPr>
      </w:pPr>
      <w:r>
        <w:rPr>
          <w:rFonts w:hint="eastAsia" w:ascii="黑体" w:hAnsi="宋体" w:eastAsia="黑体"/>
          <w:b/>
          <w:bCs/>
          <w:color w:val="auto"/>
          <w:sz w:val="36"/>
          <w:szCs w:val="36"/>
          <w:lang w:val="en-US" w:eastAsia="zh-CN"/>
        </w:rPr>
        <w:t>体育部教师教育</w:t>
      </w:r>
      <w:r>
        <w:rPr>
          <w:rFonts w:hint="eastAsia" w:ascii="黑体" w:hAnsi="宋体" w:eastAsia="黑体"/>
          <w:b/>
          <w:bCs/>
          <w:color w:val="auto"/>
          <w:sz w:val="36"/>
          <w:szCs w:val="36"/>
        </w:rPr>
        <w:t>课程教学学生评价标准</w:t>
      </w:r>
    </w:p>
    <w:p w14:paraId="05D4D39E">
      <w:pPr>
        <w:jc w:val="center"/>
        <w:rPr>
          <w:rFonts w:hint="eastAsia" w:ascii="黑体" w:hAnsi="宋体" w:eastAsia="黑体"/>
          <w:b/>
          <w:bCs/>
          <w:color w:val="auto"/>
          <w:sz w:val="30"/>
          <w:szCs w:val="30"/>
        </w:rPr>
      </w:pPr>
      <w:r>
        <w:rPr>
          <w:rFonts w:hint="eastAsia" w:ascii="黑体" w:hAnsi="宋体" w:eastAsia="黑体"/>
          <w:b/>
          <w:bCs/>
          <w:color w:val="auto"/>
          <w:sz w:val="30"/>
          <w:szCs w:val="30"/>
        </w:rPr>
        <w:t>（实践课）</w:t>
      </w:r>
    </w:p>
    <w:p w14:paraId="49848604">
      <w:pPr>
        <w:jc w:val="center"/>
        <w:rPr>
          <w:rFonts w:hint="eastAsia" w:ascii="黑体" w:hAnsi="宋体" w:eastAsia="黑体"/>
          <w:b/>
          <w:bCs/>
          <w:color w:val="auto"/>
          <w:sz w:val="30"/>
          <w:szCs w:val="30"/>
        </w:rPr>
      </w:pPr>
    </w:p>
    <w:tbl>
      <w:tblPr>
        <w:tblStyle w:val="14"/>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6977"/>
      </w:tblGrid>
      <w:tr w14:paraId="55EE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89" w:type="dxa"/>
            <w:vAlign w:val="center"/>
          </w:tcPr>
          <w:p w14:paraId="6E607C27">
            <w:pPr>
              <w:spacing w:line="400" w:lineRule="exact"/>
              <w:jc w:val="center"/>
              <w:rPr>
                <w:rFonts w:ascii="宋体" w:hAnsi="宋体" w:eastAsia="宋体" w:cs="宋体"/>
                <w:b/>
                <w:bCs/>
                <w:color w:val="auto"/>
                <w:sz w:val="24"/>
              </w:rPr>
            </w:pPr>
            <w:r>
              <w:rPr>
                <w:rFonts w:hint="eastAsia" w:ascii="宋体" w:hAnsi="宋体" w:eastAsia="宋体" w:cs="宋体"/>
                <w:b/>
                <w:bCs/>
                <w:color w:val="auto"/>
                <w:sz w:val="24"/>
              </w:rPr>
              <w:t>评价项目</w:t>
            </w:r>
          </w:p>
          <w:p w14:paraId="76D65A6B">
            <w:pPr>
              <w:spacing w:line="400" w:lineRule="exact"/>
              <w:jc w:val="center"/>
              <w:rPr>
                <w:rFonts w:ascii="宋体" w:hAnsi="宋体" w:eastAsia="宋体" w:cs="宋体"/>
                <w:b/>
                <w:color w:val="auto"/>
                <w:sz w:val="24"/>
              </w:rPr>
            </w:pPr>
            <w:r>
              <w:rPr>
                <w:rFonts w:hint="eastAsia" w:ascii="宋体" w:hAnsi="宋体" w:eastAsia="宋体" w:cs="宋体"/>
                <w:b/>
                <w:bCs/>
                <w:color w:val="auto"/>
                <w:sz w:val="24"/>
              </w:rPr>
              <w:t>及分值</w:t>
            </w:r>
          </w:p>
        </w:tc>
        <w:tc>
          <w:tcPr>
            <w:tcW w:w="6977" w:type="dxa"/>
            <w:vAlign w:val="center"/>
          </w:tcPr>
          <w:p w14:paraId="645A6F53">
            <w:pPr>
              <w:spacing w:line="400" w:lineRule="exact"/>
              <w:jc w:val="center"/>
              <w:rPr>
                <w:rFonts w:ascii="宋体" w:hAnsi="宋体" w:eastAsia="宋体" w:cs="宋体"/>
                <w:b/>
                <w:color w:val="auto"/>
                <w:sz w:val="24"/>
              </w:rPr>
            </w:pPr>
            <w:r>
              <w:rPr>
                <w:rFonts w:hint="eastAsia" w:ascii="宋体" w:hAnsi="宋体" w:eastAsia="宋体" w:cs="宋体"/>
                <w:b/>
                <w:bCs/>
                <w:color w:val="auto"/>
                <w:sz w:val="24"/>
              </w:rPr>
              <w:t>评  价  标  准</w:t>
            </w:r>
          </w:p>
        </w:tc>
      </w:tr>
      <w:tr w14:paraId="0363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1589" w:type="dxa"/>
            <w:vAlign w:val="center"/>
          </w:tcPr>
          <w:p w14:paraId="0E8BE864">
            <w:pPr>
              <w:spacing w:line="400" w:lineRule="exact"/>
              <w:rPr>
                <w:rFonts w:ascii="宋体" w:hAnsi="宋体" w:eastAsia="宋体" w:cs="宋体"/>
                <w:color w:val="auto"/>
                <w:sz w:val="24"/>
              </w:rPr>
            </w:pPr>
            <w:r>
              <w:rPr>
                <w:rFonts w:hint="eastAsia" w:ascii="宋体" w:hAnsi="宋体" w:eastAsia="宋体" w:cs="宋体"/>
                <w:color w:val="auto"/>
                <w:sz w:val="24"/>
              </w:rPr>
              <w:t>教学态度</w:t>
            </w:r>
          </w:p>
          <w:p w14:paraId="0D97A92C">
            <w:pPr>
              <w:spacing w:line="400" w:lineRule="exact"/>
              <w:rPr>
                <w:rFonts w:ascii="宋体" w:hAnsi="宋体" w:eastAsia="宋体" w:cs="宋体"/>
                <w:color w:val="auto"/>
                <w:sz w:val="24"/>
              </w:rPr>
            </w:pPr>
            <w:r>
              <w:rPr>
                <w:rFonts w:hint="eastAsia" w:ascii="宋体" w:hAnsi="宋体" w:eastAsia="宋体" w:cs="宋体"/>
                <w:color w:val="auto"/>
                <w:sz w:val="24"/>
              </w:rPr>
              <w:t>（15分）</w:t>
            </w:r>
          </w:p>
        </w:tc>
        <w:tc>
          <w:tcPr>
            <w:tcW w:w="6977" w:type="dxa"/>
            <w:vAlign w:val="center"/>
          </w:tcPr>
          <w:p w14:paraId="6DF08F89">
            <w:pPr>
              <w:spacing w:line="400" w:lineRule="exact"/>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pacing w:val="4"/>
                <w:sz w:val="24"/>
              </w:rPr>
              <w:t>为人师表，举止端庄，精神饱满，关爱学生，具有责任心与亲和力；</w:t>
            </w:r>
          </w:p>
          <w:p w14:paraId="635EA190">
            <w:pPr>
              <w:spacing w:line="400" w:lineRule="exact"/>
              <w:rPr>
                <w:rFonts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pacing w:val="12"/>
                <w:sz w:val="24"/>
              </w:rPr>
              <w:t>遵守教学纪律，教学管理严格，没有迟到、早退和随意调停课情况；</w:t>
            </w:r>
          </w:p>
        </w:tc>
      </w:tr>
      <w:tr w14:paraId="7792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jc w:val="center"/>
        </w:trPr>
        <w:tc>
          <w:tcPr>
            <w:tcW w:w="1589" w:type="dxa"/>
            <w:vAlign w:val="center"/>
          </w:tcPr>
          <w:p w14:paraId="74887C20">
            <w:pPr>
              <w:spacing w:line="400" w:lineRule="exact"/>
              <w:rPr>
                <w:rFonts w:ascii="宋体" w:hAnsi="宋体" w:eastAsia="宋体" w:cs="宋体"/>
                <w:color w:val="auto"/>
                <w:sz w:val="24"/>
              </w:rPr>
            </w:pPr>
            <w:r>
              <w:rPr>
                <w:rFonts w:hint="eastAsia" w:ascii="宋体" w:hAnsi="宋体" w:eastAsia="宋体" w:cs="宋体"/>
                <w:color w:val="auto"/>
                <w:sz w:val="24"/>
              </w:rPr>
              <w:t>教学内容</w:t>
            </w:r>
          </w:p>
          <w:p w14:paraId="4B14229F">
            <w:pPr>
              <w:spacing w:line="400" w:lineRule="exact"/>
              <w:rPr>
                <w:rFonts w:ascii="宋体" w:hAnsi="宋体" w:eastAsia="宋体" w:cs="宋体"/>
                <w:color w:val="auto"/>
                <w:sz w:val="24"/>
              </w:rPr>
            </w:pPr>
            <w:r>
              <w:rPr>
                <w:rFonts w:hint="eastAsia" w:ascii="宋体" w:hAnsi="宋体" w:eastAsia="宋体" w:cs="宋体"/>
                <w:color w:val="auto"/>
                <w:sz w:val="24"/>
              </w:rPr>
              <w:t>（40分）</w:t>
            </w:r>
          </w:p>
        </w:tc>
        <w:tc>
          <w:tcPr>
            <w:tcW w:w="6977" w:type="dxa"/>
            <w:vAlign w:val="center"/>
          </w:tcPr>
          <w:p w14:paraId="6F44B68F">
            <w:pPr>
              <w:numPr>
                <w:ilvl w:val="0"/>
                <w:numId w:val="3"/>
              </w:numPr>
              <w:spacing w:line="400" w:lineRule="exact"/>
              <w:rPr>
                <w:rFonts w:ascii="宋体" w:hAnsi="宋体" w:eastAsia="宋体" w:cs="宋体"/>
                <w:color w:val="auto"/>
                <w:sz w:val="24"/>
              </w:rPr>
            </w:pPr>
            <w:r>
              <w:rPr>
                <w:rFonts w:hint="eastAsia" w:ascii="宋体" w:hAnsi="宋体" w:eastAsia="宋体" w:cs="宋体"/>
                <w:color w:val="auto"/>
                <w:spacing w:val="12"/>
                <w:sz w:val="24"/>
              </w:rPr>
              <w:t>教学目标和</w:t>
            </w:r>
            <w:r>
              <w:rPr>
                <w:rFonts w:hint="eastAsia" w:ascii="宋体" w:hAnsi="宋体" w:eastAsia="宋体" w:cs="宋体"/>
                <w:color w:val="auto"/>
                <w:sz w:val="24"/>
              </w:rPr>
              <w:t>实践要求</w:t>
            </w:r>
            <w:r>
              <w:rPr>
                <w:rFonts w:hint="eastAsia" w:ascii="宋体" w:hAnsi="宋体" w:eastAsia="宋体" w:cs="宋体"/>
                <w:color w:val="auto"/>
                <w:spacing w:val="12"/>
                <w:sz w:val="24"/>
              </w:rPr>
              <w:t>明确，任务安排合理，重点突出，难度合适；</w:t>
            </w:r>
          </w:p>
          <w:p w14:paraId="4486C6D0">
            <w:pPr>
              <w:spacing w:line="400" w:lineRule="exact"/>
              <w:rPr>
                <w:rFonts w:ascii="宋体" w:hAnsi="宋体" w:eastAsia="宋体" w:cs="宋体"/>
                <w:color w:val="auto"/>
                <w:spacing w:val="12"/>
                <w:sz w:val="24"/>
              </w:rPr>
            </w:pPr>
            <w:r>
              <w:rPr>
                <w:rFonts w:hint="eastAsia" w:ascii="宋体" w:hAnsi="宋体" w:eastAsia="宋体" w:cs="宋体"/>
                <w:color w:val="auto"/>
                <w:spacing w:val="12"/>
                <w:sz w:val="24"/>
              </w:rPr>
              <w:t>2.备课充分，能围绕实践项目展开熟练讲解，表达清晰准确，通俗易懂；</w:t>
            </w:r>
          </w:p>
          <w:p w14:paraId="45E961E2">
            <w:pPr>
              <w:spacing w:line="400" w:lineRule="exact"/>
              <w:rPr>
                <w:rFonts w:ascii="宋体" w:hAnsi="宋体" w:eastAsia="宋体" w:cs="宋体"/>
                <w:color w:val="auto"/>
                <w:sz w:val="24"/>
              </w:rPr>
            </w:pPr>
            <w:r>
              <w:rPr>
                <w:rFonts w:hint="eastAsia" w:ascii="宋体" w:hAnsi="宋体" w:eastAsia="宋体" w:cs="宋体"/>
                <w:color w:val="auto"/>
                <w:sz w:val="24"/>
              </w:rPr>
              <w:t>3.示范操作规范、时间分配合理，全过程指导学生实践，</w:t>
            </w:r>
            <w:r>
              <w:rPr>
                <w:rFonts w:hint="eastAsia" w:ascii="宋体" w:hAnsi="宋体" w:eastAsia="宋体" w:cs="宋体"/>
                <w:color w:val="auto"/>
                <w:spacing w:val="12"/>
                <w:sz w:val="24"/>
              </w:rPr>
              <w:t>注重培养学生的创新能力与独立自主/团结协作开展实践实训能力</w:t>
            </w:r>
            <w:r>
              <w:rPr>
                <w:rFonts w:hint="eastAsia" w:ascii="宋体" w:hAnsi="宋体" w:eastAsia="宋体" w:cs="宋体"/>
                <w:color w:val="auto"/>
                <w:sz w:val="24"/>
              </w:rPr>
              <w:t xml:space="preserve">； </w:t>
            </w:r>
          </w:p>
          <w:p w14:paraId="1880D6A1">
            <w:pPr>
              <w:spacing w:line="400" w:lineRule="exact"/>
              <w:rPr>
                <w:rFonts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pacing w:val="12"/>
                <w:sz w:val="24"/>
              </w:rPr>
              <w:t>注重课程思政和学生情感价值培养，积极引导学生成长成才。</w:t>
            </w:r>
          </w:p>
        </w:tc>
      </w:tr>
      <w:tr w14:paraId="4C7F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1589" w:type="dxa"/>
            <w:vAlign w:val="center"/>
          </w:tcPr>
          <w:p w14:paraId="5A73E7C0">
            <w:pPr>
              <w:spacing w:line="400" w:lineRule="exact"/>
              <w:rPr>
                <w:rFonts w:ascii="宋体" w:hAnsi="宋体" w:eastAsia="宋体" w:cs="宋体"/>
                <w:color w:val="auto"/>
                <w:sz w:val="24"/>
              </w:rPr>
            </w:pPr>
            <w:r>
              <w:rPr>
                <w:rFonts w:hint="eastAsia" w:ascii="宋体" w:hAnsi="宋体" w:eastAsia="宋体" w:cs="宋体"/>
                <w:color w:val="auto"/>
                <w:sz w:val="24"/>
              </w:rPr>
              <w:t>教学方法与手段</w:t>
            </w:r>
          </w:p>
          <w:p w14:paraId="51D6D82E">
            <w:pPr>
              <w:spacing w:line="400" w:lineRule="exact"/>
              <w:rPr>
                <w:rFonts w:ascii="宋体" w:hAnsi="宋体" w:eastAsia="宋体" w:cs="宋体"/>
                <w:color w:val="auto"/>
                <w:sz w:val="24"/>
              </w:rPr>
            </w:pPr>
            <w:r>
              <w:rPr>
                <w:rFonts w:hint="eastAsia" w:ascii="宋体" w:hAnsi="宋体" w:eastAsia="宋体" w:cs="宋体"/>
                <w:color w:val="auto"/>
                <w:sz w:val="24"/>
              </w:rPr>
              <w:t>（20分）</w:t>
            </w:r>
          </w:p>
        </w:tc>
        <w:tc>
          <w:tcPr>
            <w:tcW w:w="6977" w:type="dxa"/>
            <w:vAlign w:val="center"/>
          </w:tcPr>
          <w:p w14:paraId="64BC0A8A">
            <w:pPr>
              <w:spacing w:line="400" w:lineRule="exact"/>
              <w:rPr>
                <w:rFonts w:ascii="宋体" w:hAnsi="宋体" w:eastAsia="宋体" w:cs="宋体"/>
                <w:color w:val="auto"/>
                <w:sz w:val="24"/>
              </w:rPr>
            </w:pPr>
            <w:r>
              <w:rPr>
                <w:rFonts w:hint="eastAsia" w:ascii="宋体" w:hAnsi="宋体" w:eastAsia="宋体" w:cs="宋体"/>
                <w:color w:val="auto"/>
                <w:sz w:val="24"/>
              </w:rPr>
              <w:t>1.突出学生主体地位，</w:t>
            </w:r>
            <w:r>
              <w:rPr>
                <w:rFonts w:hint="eastAsia" w:ascii="宋体" w:hAnsi="宋体" w:eastAsia="宋体" w:cs="宋体"/>
                <w:color w:val="auto"/>
                <w:spacing w:val="4"/>
                <w:sz w:val="24"/>
              </w:rPr>
              <w:t>注重启发</w:t>
            </w:r>
            <w:r>
              <w:rPr>
                <w:rFonts w:hint="eastAsia" w:ascii="宋体" w:hAnsi="宋体" w:eastAsia="宋体" w:cs="宋体"/>
                <w:color w:val="auto"/>
                <w:spacing w:val="8"/>
                <w:sz w:val="24"/>
              </w:rPr>
              <w:t>互动</w:t>
            </w:r>
            <w:r>
              <w:rPr>
                <w:rFonts w:hint="eastAsia" w:ascii="宋体" w:hAnsi="宋体" w:eastAsia="宋体" w:cs="宋体"/>
                <w:color w:val="auto"/>
                <w:spacing w:val="4"/>
                <w:sz w:val="24"/>
              </w:rPr>
              <w:t>，因材施教，综合采用案例式、讨论式、示范式、体验式等多种教学方法，</w:t>
            </w:r>
            <w:r>
              <w:rPr>
                <w:rFonts w:hint="eastAsia" w:ascii="宋体" w:hAnsi="宋体" w:eastAsia="宋体" w:cs="宋体"/>
                <w:color w:val="auto"/>
                <w:sz w:val="24"/>
              </w:rPr>
              <w:t>指导学生积极开展实践实训；</w:t>
            </w:r>
          </w:p>
          <w:p w14:paraId="5E3C4DE8">
            <w:pPr>
              <w:spacing w:line="400" w:lineRule="exact"/>
              <w:rPr>
                <w:rFonts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pacing w:val="4"/>
                <w:sz w:val="24"/>
              </w:rPr>
              <w:t>合理运用多媒体、虚拟仿真、人工智能、课程在线平台等信息化教学手段和系统平台开展实践教学与学生指导。</w:t>
            </w:r>
          </w:p>
        </w:tc>
      </w:tr>
      <w:tr w14:paraId="4520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1589" w:type="dxa"/>
            <w:vAlign w:val="center"/>
          </w:tcPr>
          <w:p w14:paraId="64FB69C5">
            <w:pPr>
              <w:spacing w:line="400" w:lineRule="exact"/>
              <w:rPr>
                <w:rFonts w:ascii="宋体" w:hAnsi="宋体" w:eastAsia="宋体" w:cs="宋体"/>
                <w:color w:val="auto"/>
                <w:sz w:val="24"/>
              </w:rPr>
            </w:pPr>
            <w:r>
              <w:rPr>
                <w:rFonts w:hint="eastAsia" w:ascii="宋体" w:hAnsi="宋体" w:eastAsia="宋体" w:cs="宋体"/>
                <w:color w:val="auto"/>
                <w:sz w:val="24"/>
              </w:rPr>
              <w:t>教学效果</w:t>
            </w:r>
          </w:p>
          <w:p w14:paraId="4DEFC3F7">
            <w:pPr>
              <w:spacing w:line="400" w:lineRule="exact"/>
              <w:rPr>
                <w:rFonts w:ascii="宋体" w:hAnsi="宋体" w:eastAsia="宋体" w:cs="宋体"/>
                <w:color w:val="auto"/>
                <w:sz w:val="24"/>
              </w:rPr>
            </w:pPr>
            <w:r>
              <w:rPr>
                <w:rFonts w:hint="eastAsia" w:ascii="宋体" w:hAnsi="宋体" w:eastAsia="宋体" w:cs="宋体"/>
                <w:color w:val="auto"/>
                <w:sz w:val="24"/>
              </w:rPr>
              <w:t>（25分）</w:t>
            </w:r>
          </w:p>
        </w:tc>
        <w:tc>
          <w:tcPr>
            <w:tcW w:w="6977" w:type="dxa"/>
            <w:vAlign w:val="center"/>
          </w:tcPr>
          <w:p w14:paraId="6C33C0AD">
            <w:pPr>
              <w:spacing w:line="400" w:lineRule="exact"/>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pacing w:val="5"/>
                <w:sz w:val="24"/>
              </w:rPr>
              <w:t>学生到课率、参与度和满意率高，教学秩序好，实践任务完成顺利；</w:t>
            </w:r>
          </w:p>
          <w:p w14:paraId="2D35347E">
            <w:pPr>
              <w:spacing w:line="400" w:lineRule="exact"/>
              <w:rPr>
                <w:rFonts w:ascii="宋体" w:hAnsi="宋体" w:eastAsia="宋体" w:cs="宋体"/>
                <w:color w:val="auto"/>
                <w:sz w:val="24"/>
              </w:rPr>
            </w:pPr>
            <w:r>
              <w:rPr>
                <w:rFonts w:hint="eastAsia" w:ascii="宋体" w:hAnsi="宋体" w:eastAsia="宋体" w:cs="宋体"/>
                <w:color w:val="auto"/>
                <w:sz w:val="24"/>
              </w:rPr>
              <w:t>2.学生获得感强，能够深化对课程理论知识的理解、掌握实践基本技能，增强创新能力与分析应用能力，坚定</w:t>
            </w:r>
            <w:r>
              <w:rPr>
                <w:rFonts w:hint="eastAsia" w:ascii="宋体" w:hAnsi="宋体" w:eastAsia="宋体" w:cs="宋体"/>
                <w:color w:val="auto"/>
                <w:sz w:val="24"/>
                <w:lang w:val="zh-CN"/>
              </w:rPr>
              <w:t>理想信念，</w:t>
            </w:r>
            <w:r>
              <w:rPr>
                <w:rFonts w:hint="eastAsia" w:ascii="宋体" w:hAnsi="宋体" w:eastAsia="宋体" w:cs="宋体"/>
                <w:color w:val="auto"/>
                <w:sz w:val="24"/>
              </w:rPr>
              <w:t>培育</w:t>
            </w:r>
            <w:r>
              <w:rPr>
                <w:rFonts w:hint="eastAsia" w:ascii="宋体" w:hAnsi="宋体" w:eastAsia="宋体" w:cs="宋体"/>
                <w:color w:val="auto"/>
                <w:sz w:val="24"/>
                <w:lang w:val="zh-CN"/>
              </w:rPr>
              <w:t>家国情怀，具有“四自”精神</w:t>
            </w:r>
            <w:r>
              <w:rPr>
                <w:rFonts w:hint="eastAsia" w:ascii="宋体" w:hAnsi="宋体" w:eastAsia="宋体" w:cs="宋体"/>
                <w:color w:val="auto"/>
                <w:sz w:val="24"/>
              </w:rPr>
              <w:t>，达到了预期目标</w:t>
            </w:r>
            <w:r>
              <w:rPr>
                <w:rFonts w:hint="eastAsia" w:ascii="宋体" w:hAnsi="宋体" w:eastAsia="宋体" w:cs="宋体"/>
                <w:color w:val="auto"/>
                <w:spacing w:val="4"/>
                <w:sz w:val="24"/>
              </w:rPr>
              <w:t>。</w:t>
            </w:r>
          </w:p>
        </w:tc>
      </w:tr>
    </w:tbl>
    <w:p w14:paraId="0E3BFAB3">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说明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此评价标准适用于</w:t>
      </w:r>
      <w:r>
        <w:rPr>
          <w:rFonts w:hint="eastAsia" w:ascii="宋体" w:hAnsi="宋体" w:eastAsia="宋体" w:cs="宋体"/>
          <w:color w:val="auto"/>
          <w:sz w:val="21"/>
          <w:szCs w:val="21"/>
          <w:lang w:val="en-US" w:eastAsia="zh-CN"/>
        </w:rPr>
        <w:t>教师教育</w:t>
      </w:r>
      <w:r>
        <w:rPr>
          <w:rFonts w:hint="eastAsia" w:ascii="宋体" w:hAnsi="宋体" w:eastAsia="宋体" w:cs="宋体"/>
          <w:color w:val="auto"/>
          <w:sz w:val="21"/>
          <w:szCs w:val="21"/>
        </w:rPr>
        <w:t>课程（实践课）教学评价，按百分制计分，总分为10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p>
    <w:p w14:paraId="1A0A6A5D">
      <w:pPr>
        <w:autoSpaceDE w:val="0"/>
        <w:autoSpaceDN w:val="0"/>
        <w:adjustRightInd w:val="0"/>
        <w:snapToGrid w:val="0"/>
        <w:spacing w:line="460" w:lineRule="exact"/>
        <w:rPr>
          <w:rFonts w:ascii="宋体" w:hAnsi="宋体" w:eastAsia="宋体" w:cs="宋体"/>
          <w:bCs/>
          <w:color w:val="auto"/>
          <w:sz w:val="24"/>
        </w:rPr>
      </w:pPr>
      <w:r>
        <w:rPr>
          <w:rFonts w:hint="eastAsia" w:ascii="宋体" w:hAnsi="宋体" w:eastAsia="宋体" w:cs="宋体"/>
          <w:bCs/>
          <w:color w:val="auto"/>
          <w:sz w:val="24"/>
          <w:lang w:val="zh-CN"/>
        </w:rPr>
        <w:t>附件</w:t>
      </w:r>
      <w:r>
        <w:rPr>
          <w:rFonts w:hint="eastAsia" w:ascii="宋体" w:hAnsi="宋体" w:eastAsia="宋体" w:cs="宋体"/>
          <w:bCs/>
          <w:color w:val="auto"/>
          <w:sz w:val="24"/>
        </w:rPr>
        <w:t>4：</w:t>
      </w:r>
    </w:p>
    <w:p w14:paraId="4C580C18">
      <w:pPr>
        <w:ind w:firstLine="1446" w:firstLineChars="400"/>
        <w:rPr>
          <w:rFonts w:ascii="黑体" w:hAnsi="宋体" w:eastAsia="黑体"/>
          <w:b/>
          <w:bCs/>
          <w:color w:val="auto"/>
          <w:sz w:val="36"/>
          <w:szCs w:val="36"/>
        </w:rPr>
      </w:pPr>
      <w:r>
        <w:rPr>
          <w:rFonts w:hint="eastAsia" w:ascii="黑体" w:hAnsi="宋体" w:eastAsia="黑体"/>
          <w:b/>
          <w:bCs/>
          <w:color w:val="auto"/>
          <w:sz w:val="36"/>
          <w:szCs w:val="36"/>
          <w:lang w:val="en-US" w:eastAsia="zh-CN"/>
        </w:rPr>
        <w:t>体育部</w:t>
      </w:r>
      <w:r>
        <w:rPr>
          <w:rFonts w:hint="eastAsia" w:ascii="黑体" w:hAnsi="宋体" w:eastAsia="黑体"/>
          <w:b/>
          <w:bCs/>
          <w:color w:val="auto"/>
          <w:sz w:val="36"/>
          <w:szCs w:val="36"/>
        </w:rPr>
        <w:t>教师</w:t>
      </w:r>
      <w:r>
        <w:rPr>
          <w:rFonts w:hint="eastAsia" w:ascii="黑体" w:hAnsi="宋体" w:eastAsia="黑体"/>
          <w:b/>
          <w:bCs/>
          <w:color w:val="auto"/>
          <w:sz w:val="36"/>
          <w:szCs w:val="36"/>
          <w:lang w:val="en-US" w:eastAsia="zh-CN"/>
        </w:rPr>
        <w:t>教育课程</w:t>
      </w:r>
      <w:r>
        <w:rPr>
          <w:rFonts w:hint="eastAsia" w:ascii="黑体" w:hAnsi="宋体" w:eastAsia="黑体"/>
          <w:b/>
          <w:bCs/>
          <w:color w:val="auto"/>
          <w:sz w:val="36"/>
          <w:szCs w:val="36"/>
        </w:rPr>
        <w:t>课堂教学评价标准</w:t>
      </w:r>
    </w:p>
    <w:p w14:paraId="0CF09CAB">
      <w:pPr>
        <w:spacing w:line="440" w:lineRule="exact"/>
        <w:jc w:val="center"/>
        <w:rPr>
          <w:rFonts w:ascii="黑体" w:hAnsi="宋体" w:eastAsia="黑体"/>
          <w:b/>
          <w:bCs/>
          <w:color w:val="auto"/>
          <w:sz w:val="30"/>
          <w:szCs w:val="30"/>
        </w:rPr>
      </w:pPr>
      <w:r>
        <w:rPr>
          <w:rFonts w:hint="eastAsia" w:ascii="黑体" w:hAnsi="宋体" w:eastAsia="黑体"/>
          <w:b/>
          <w:bCs/>
          <w:color w:val="auto"/>
          <w:sz w:val="30"/>
          <w:szCs w:val="30"/>
        </w:rPr>
        <w:t>（实践课）</w:t>
      </w:r>
    </w:p>
    <w:p w14:paraId="509BF39C">
      <w:pPr>
        <w:pStyle w:val="12"/>
        <w:spacing w:before="0" w:after="0" w:line="460" w:lineRule="exact"/>
        <w:outlineLvl w:val="9"/>
        <w:rPr>
          <w:rFonts w:ascii="仿宋_GB2312" w:hAnsi="仿宋_GB2312" w:eastAsia="仿宋_GB2312" w:cs="仿宋_GB2312"/>
          <w:color w:val="auto"/>
        </w:rPr>
      </w:pPr>
    </w:p>
    <w:tbl>
      <w:tblPr>
        <w:tblStyle w:val="14"/>
        <w:tblW w:w="8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6843"/>
      </w:tblGrid>
      <w:tr w14:paraId="6687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08" w:type="dxa"/>
            <w:vAlign w:val="center"/>
          </w:tcPr>
          <w:p w14:paraId="6186ADE8">
            <w:pPr>
              <w:spacing w:line="380" w:lineRule="exact"/>
              <w:jc w:val="center"/>
              <w:rPr>
                <w:rFonts w:ascii="宋体" w:hAnsi="宋体" w:eastAsia="宋体" w:cs="宋体"/>
                <w:b/>
                <w:bCs/>
                <w:color w:val="auto"/>
                <w:sz w:val="24"/>
              </w:rPr>
            </w:pPr>
            <w:r>
              <w:rPr>
                <w:rFonts w:hint="eastAsia" w:ascii="宋体" w:hAnsi="宋体" w:eastAsia="宋体" w:cs="宋体"/>
                <w:b/>
                <w:bCs/>
                <w:color w:val="auto"/>
                <w:sz w:val="24"/>
              </w:rPr>
              <w:t>评价项目</w:t>
            </w:r>
          </w:p>
          <w:p w14:paraId="47F1F97B">
            <w:pPr>
              <w:spacing w:line="380" w:lineRule="exact"/>
              <w:jc w:val="center"/>
              <w:rPr>
                <w:rFonts w:ascii="宋体" w:hAnsi="宋体" w:eastAsia="宋体" w:cs="宋体"/>
                <w:b/>
                <w:bCs/>
                <w:color w:val="auto"/>
                <w:sz w:val="24"/>
              </w:rPr>
            </w:pPr>
            <w:r>
              <w:rPr>
                <w:rFonts w:hint="eastAsia" w:ascii="宋体" w:hAnsi="宋体" w:eastAsia="宋体" w:cs="宋体"/>
                <w:b/>
                <w:bCs/>
                <w:color w:val="auto"/>
                <w:sz w:val="24"/>
              </w:rPr>
              <w:t>及分值</w:t>
            </w:r>
          </w:p>
        </w:tc>
        <w:tc>
          <w:tcPr>
            <w:tcW w:w="6843" w:type="dxa"/>
            <w:vAlign w:val="center"/>
          </w:tcPr>
          <w:p w14:paraId="3DC9A9CE">
            <w:pPr>
              <w:spacing w:line="380" w:lineRule="exact"/>
              <w:jc w:val="center"/>
              <w:rPr>
                <w:rFonts w:ascii="宋体" w:hAnsi="宋体" w:eastAsia="宋体" w:cs="宋体"/>
                <w:b/>
                <w:bCs/>
                <w:color w:val="auto"/>
                <w:sz w:val="24"/>
              </w:rPr>
            </w:pPr>
            <w:r>
              <w:rPr>
                <w:rFonts w:hint="eastAsia" w:ascii="宋体" w:hAnsi="宋体" w:eastAsia="宋体" w:cs="宋体"/>
                <w:b/>
                <w:bCs/>
                <w:color w:val="auto"/>
                <w:sz w:val="24"/>
              </w:rPr>
              <w:t>评  价  标  准</w:t>
            </w:r>
          </w:p>
        </w:tc>
      </w:tr>
      <w:tr w14:paraId="29CD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1608" w:type="dxa"/>
            <w:vAlign w:val="center"/>
          </w:tcPr>
          <w:p w14:paraId="6870009A">
            <w:pPr>
              <w:spacing w:line="380" w:lineRule="exact"/>
              <w:jc w:val="center"/>
              <w:rPr>
                <w:rFonts w:ascii="宋体" w:hAnsi="宋体" w:eastAsia="宋体" w:cs="宋体"/>
                <w:bCs/>
                <w:color w:val="auto"/>
                <w:sz w:val="24"/>
              </w:rPr>
            </w:pPr>
            <w:r>
              <w:rPr>
                <w:rFonts w:hint="eastAsia" w:ascii="宋体" w:hAnsi="宋体" w:eastAsia="宋体" w:cs="宋体"/>
                <w:bCs/>
                <w:color w:val="auto"/>
                <w:sz w:val="24"/>
              </w:rPr>
              <w:t>教学态度</w:t>
            </w:r>
          </w:p>
          <w:p w14:paraId="201966BB">
            <w:pPr>
              <w:spacing w:line="380" w:lineRule="exact"/>
              <w:jc w:val="center"/>
              <w:rPr>
                <w:rFonts w:ascii="宋体" w:hAnsi="宋体" w:eastAsia="宋体" w:cs="宋体"/>
                <w:bCs/>
                <w:color w:val="auto"/>
                <w:sz w:val="24"/>
              </w:rPr>
            </w:pPr>
            <w:r>
              <w:rPr>
                <w:rFonts w:hint="eastAsia" w:ascii="宋体" w:hAnsi="宋体" w:eastAsia="宋体" w:cs="宋体"/>
                <w:bCs/>
                <w:color w:val="auto"/>
                <w:sz w:val="24"/>
              </w:rPr>
              <w:t>（15分）</w:t>
            </w:r>
          </w:p>
        </w:tc>
        <w:tc>
          <w:tcPr>
            <w:tcW w:w="6843" w:type="dxa"/>
            <w:vAlign w:val="center"/>
          </w:tcPr>
          <w:p w14:paraId="4F03AEE5">
            <w:pPr>
              <w:spacing w:line="380" w:lineRule="exact"/>
              <w:rPr>
                <w:rFonts w:ascii="宋体" w:hAnsi="宋体" w:eastAsia="宋体" w:cs="宋体"/>
                <w:color w:val="auto"/>
                <w:sz w:val="24"/>
              </w:rPr>
            </w:pPr>
            <w:r>
              <w:rPr>
                <w:rFonts w:hint="eastAsia" w:ascii="宋体" w:hAnsi="宋体" w:eastAsia="宋体" w:cs="宋体"/>
                <w:color w:val="auto"/>
                <w:sz w:val="24"/>
              </w:rPr>
              <w:t xml:space="preserve">1.备课充分，教案规范，教学材料齐全； </w:t>
            </w:r>
          </w:p>
          <w:p w14:paraId="56175ED7">
            <w:pPr>
              <w:spacing w:line="380" w:lineRule="exact"/>
              <w:rPr>
                <w:rFonts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精神饱满，讲解认真投入，声音洪亮，语言生动，仪态大方；</w:t>
            </w:r>
          </w:p>
          <w:p w14:paraId="5D83D27A">
            <w:pPr>
              <w:spacing w:line="380" w:lineRule="exact"/>
              <w:rPr>
                <w:rFonts w:ascii="宋体" w:hAnsi="宋体" w:eastAsia="宋体" w:cs="宋体"/>
                <w:color w:val="auto"/>
                <w:sz w:val="24"/>
              </w:rPr>
            </w:pPr>
            <w:r>
              <w:rPr>
                <w:rFonts w:hint="eastAsia" w:ascii="宋体" w:hAnsi="宋体" w:eastAsia="宋体" w:cs="宋体"/>
                <w:color w:val="auto"/>
                <w:sz w:val="24"/>
              </w:rPr>
              <w:t>3.严格执行</w:t>
            </w:r>
            <w:r>
              <w:rPr>
                <w:rFonts w:hint="eastAsia" w:ascii="宋体" w:hAnsi="宋体" w:eastAsia="宋体" w:cs="宋体"/>
                <w:color w:val="auto"/>
                <w:sz w:val="24"/>
                <w:lang w:val="en-US" w:eastAsia="zh-CN"/>
              </w:rPr>
              <w:t>体育场地</w:t>
            </w:r>
            <w:r>
              <w:rPr>
                <w:rFonts w:hint="eastAsia" w:ascii="宋体" w:hAnsi="宋体" w:eastAsia="宋体" w:cs="宋体"/>
                <w:color w:val="auto"/>
                <w:sz w:val="24"/>
              </w:rPr>
              <w:t>管理规范，</w:t>
            </w:r>
            <w:r>
              <w:rPr>
                <w:rFonts w:hint="eastAsia" w:ascii="宋体" w:hAnsi="宋体" w:eastAsia="宋体" w:cs="宋体"/>
                <w:color w:val="auto"/>
                <w:sz w:val="24"/>
                <w:lang w:val="en-US" w:eastAsia="zh-CN"/>
              </w:rPr>
              <w:t>教学</w:t>
            </w:r>
            <w:r>
              <w:rPr>
                <w:rFonts w:hint="eastAsia" w:ascii="宋体" w:hAnsi="宋体" w:eastAsia="宋体" w:cs="宋体"/>
                <w:color w:val="auto"/>
                <w:sz w:val="24"/>
              </w:rPr>
              <w:t>器材准备到位，</w:t>
            </w:r>
            <w:r>
              <w:rPr>
                <w:rFonts w:hint="eastAsia" w:ascii="宋体" w:hAnsi="宋体" w:eastAsia="宋体" w:cs="宋体"/>
                <w:color w:val="auto"/>
                <w:spacing w:val="12"/>
                <w:sz w:val="24"/>
              </w:rPr>
              <w:t>无违规现象</w:t>
            </w:r>
            <w:r>
              <w:rPr>
                <w:rFonts w:hint="eastAsia" w:ascii="宋体" w:hAnsi="宋体" w:eastAsia="宋体" w:cs="宋体"/>
                <w:color w:val="auto"/>
                <w:sz w:val="24"/>
              </w:rPr>
              <w:t>。</w:t>
            </w:r>
          </w:p>
        </w:tc>
      </w:tr>
      <w:tr w14:paraId="1E95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1608" w:type="dxa"/>
            <w:vAlign w:val="center"/>
          </w:tcPr>
          <w:p w14:paraId="3CAE9875">
            <w:pPr>
              <w:spacing w:line="380" w:lineRule="exact"/>
              <w:jc w:val="center"/>
              <w:rPr>
                <w:rFonts w:ascii="宋体" w:hAnsi="宋体" w:eastAsia="宋体" w:cs="宋体"/>
                <w:bCs/>
                <w:color w:val="auto"/>
                <w:sz w:val="24"/>
              </w:rPr>
            </w:pPr>
            <w:r>
              <w:rPr>
                <w:rFonts w:hint="eastAsia" w:ascii="宋体" w:hAnsi="宋体" w:eastAsia="宋体" w:cs="宋体"/>
                <w:bCs/>
                <w:color w:val="auto"/>
                <w:sz w:val="24"/>
              </w:rPr>
              <w:t>教学内容</w:t>
            </w:r>
          </w:p>
          <w:p w14:paraId="1674AB07">
            <w:pPr>
              <w:spacing w:line="380" w:lineRule="exact"/>
              <w:jc w:val="center"/>
              <w:rPr>
                <w:rFonts w:ascii="宋体" w:hAnsi="宋体" w:eastAsia="宋体" w:cs="宋体"/>
                <w:bCs/>
                <w:color w:val="auto"/>
                <w:sz w:val="24"/>
              </w:rPr>
            </w:pPr>
            <w:r>
              <w:rPr>
                <w:rFonts w:hint="eastAsia" w:ascii="宋体" w:hAnsi="宋体" w:eastAsia="宋体" w:cs="宋体"/>
                <w:bCs/>
                <w:color w:val="auto"/>
                <w:spacing w:val="-20"/>
                <w:sz w:val="24"/>
              </w:rPr>
              <w:t>（35分）</w:t>
            </w:r>
          </w:p>
        </w:tc>
        <w:tc>
          <w:tcPr>
            <w:tcW w:w="6843" w:type="dxa"/>
            <w:vAlign w:val="center"/>
          </w:tcPr>
          <w:p w14:paraId="19833E57">
            <w:pPr>
              <w:spacing w:line="380" w:lineRule="exact"/>
              <w:rPr>
                <w:rFonts w:ascii="宋体" w:hAnsi="宋体" w:eastAsia="宋体" w:cs="宋体"/>
                <w:color w:val="auto"/>
                <w:sz w:val="24"/>
              </w:rPr>
            </w:pPr>
            <w:r>
              <w:rPr>
                <w:rFonts w:hint="eastAsia" w:ascii="宋体" w:hAnsi="宋体" w:eastAsia="宋体" w:cs="宋体"/>
                <w:color w:val="auto"/>
                <w:sz w:val="24"/>
              </w:rPr>
              <w:t>1.坚持正确政治方向</w:t>
            </w:r>
            <w:r>
              <w:rPr>
                <w:rFonts w:hint="eastAsia" w:ascii="宋体" w:hAnsi="宋体" w:eastAsia="宋体" w:cs="宋体"/>
                <w:color w:val="auto"/>
                <w:sz w:val="24"/>
                <w:lang w:val="zh-CN"/>
              </w:rPr>
              <w:t>，</w:t>
            </w:r>
            <w:r>
              <w:rPr>
                <w:rFonts w:hint="eastAsia" w:ascii="宋体" w:hAnsi="宋体" w:eastAsia="宋体" w:cs="宋体"/>
                <w:color w:val="auto"/>
                <w:sz w:val="24"/>
              </w:rPr>
              <w:t>遵守课堂讲授政治纪律；</w:t>
            </w:r>
          </w:p>
          <w:p w14:paraId="694DFA90">
            <w:pPr>
              <w:spacing w:line="380" w:lineRule="exact"/>
              <w:rPr>
                <w:rFonts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落实课程思政要求，充分挖掘教学内容中的德育素材，积极引导学生树立正确的世界观、人生观和价值观，注重培育学生的理想信念、家国情怀、“四自”精神和道德情操；</w:t>
            </w:r>
          </w:p>
          <w:p w14:paraId="268D4482">
            <w:pPr>
              <w:spacing w:line="380" w:lineRule="exact"/>
              <w:rPr>
                <w:rFonts w:ascii="宋体" w:hAnsi="宋体" w:eastAsia="宋体" w:cs="宋体"/>
                <w:color w:val="auto"/>
                <w:sz w:val="24"/>
                <w:lang w:val="zh-CN"/>
              </w:rPr>
            </w:pPr>
            <w:r>
              <w:rPr>
                <w:rFonts w:hint="eastAsia" w:ascii="宋体" w:hAnsi="宋体" w:eastAsia="宋体" w:cs="宋体"/>
                <w:color w:val="auto"/>
                <w:sz w:val="24"/>
              </w:rPr>
              <w:t>3.体现</w:t>
            </w:r>
            <w:r>
              <w:rPr>
                <w:rFonts w:hint="eastAsia" w:ascii="宋体" w:hAnsi="宋体" w:eastAsia="宋体" w:cs="宋体"/>
                <w:color w:val="auto"/>
                <w:sz w:val="24"/>
                <w:lang w:val="zh-CN"/>
              </w:rPr>
              <w:t>“学生中心、产出导向、持续改进” 教学理念，课程目标明确，内容紧扣教学大纲、反映学科前沿、充实新颖，具有高阶性、创新性和挑战度；</w:t>
            </w:r>
          </w:p>
          <w:p w14:paraId="4D1078FD">
            <w:pPr>
              <w:spacing w:line="380" w:lineRule="exact"/>
              <w:rPr>
                <w:rFonts w:ascii="宋体" w:hAnsi="宋体" w:eastAsia="宋体" w:cs="宋体"/>
                <w:color w:val="auto"/>
                <w:sz w:val="24"/>
              </w:rPr>
            </w:pPr>
            <w:r>
              <w:rPr>
                <w:rFonts w:hint="eastAsia" w:ascii="宋体" w:hAnsi="宋体" w:eastAsia="宋体" w:cs="宋体"/>
                <w:color w:val="auto"/>
                <w:sz w:val="24"/>
              </w:rPr>
              <w:t>4.讲解、示范和练习安排合理，讲解准确清晰，突出重点，讲清难点，演示过程规范、明了，操作熟练。</w:t>
            </w:r>
          </w:p>
        </w:tc>
      </w:tr>
      <w:tr w14:paraId="03ED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608" w:type="dxa"/>
            <w:vAlign w:val="center"/>
          </w:tcPr>
          <w:p w14:paraId="42D75C59">
            <w:pPr>
              <w:spacing w:line="380" w:lineRule="exact"/>
              <w:jc w:val="center"/>
              <w:rPr>
                <w:rFonts w:ascii="宋体" w:hAnsi="宋体" w:eastAsia="宋体" w:cs="宋体"/>
                <w:bCs/>
                <w:color w:val="auto"/>
                <w:sz w:val="24"/>
              </w:rPr>
            </w:pPr>
            <w:r>
              <w:rPr>
                <w:rFonts w:hint="eastAsia" w:ascii="宋体" w:hAnsi="宋体" w:eastAsia="宋体" w:cs="宋体"/>
                <w:bCs/>
                <w:color w:val="auto"/>
                <w:sz w:val="24"/>
              </w:rPr>
              <w:t>教学方法和手段</w:t>
            </w:r>
          </w:p>
          <w:p w14:paraId="7708C65A">
            <w:pPr>
              <w:spacing w:line="380" w:lineRule="exact"/>
              <w:jc w:val="center"/>
              <w:rPr>
                <w:rFonts w:ascii="宋体" w:hAnsi="宋体" w:eastAsia="宋体" w:cs="宋体"/>
                <w:bCs/>
                <w:color w:val="auto"/>
                <w:sz w:val="24"/>
              </w:rPr>
            </w:pPr>
            <w:r>
              <w:rPr>
                <w:rFonts w:hint="eastAsia" w:ascii="宋体" w:hAnsi="宋体" w:eastAsia="宋体" w:cs="宋体"/>
                <w:bCs/>
                <w:color w:val="auto"/>
                <w:spacing w:val="-20"/>
                <w:sz w:val="24"/>
              </w:rPr>
              <w:t>（20分）</w:t>
            </w:r>
          </w:p>
        </w:tc>
        <w:tc>
          <w:tcPr>
            <w:tcW w:w="6843" w:type="dxa"/>
            <w:vAlign w:val="center"/>
          </w:tcPr>
          <w:p w14:paraId="31313A10">
            <w:pPr>
              <w:numPr>
                <w:ilvl w:val="0"/>
                <w:numId w:val="4"/>
              </w:numPr>
              <w:spacing w:line="380" w:lineRule="exact"/>
              <w:rPr>
                <w:rFonts w:ascii="宋体" w:hAnsi="宋体" w:eastAsia="宋体" w:cs="宋体"/>
                <w:color w:val="auto"/>
                <w:sz w:val="24"/>
              </w:rPr>
            </w:pPr>
            <w:r>
              <w:rPr>
                <w:rFonts w:hint="eastAsia" w:ascii="宋体" w:hAnsi="宋体" w:eastAsia="宋体" w:cs="宋体"/>
                <w:color w:val="auto"/>
                <w:sz w:val="24"/>
              </w:rPr>
              <w:t>坚持学生主体、教师主导，注重因材施教和学生学习方法的指导，提高学生实际操作能力，指导到位，针对性强；</w:t>
            </w:r>
          </w:p>
          <w:p w14:paraId="50B83425">
            <w:pPr>
              <w:numPr>
                <w:ilvl w:val="0"/>
                <w:numId w:val="4"/>
              </w:numPr>
              <w:spacing w:line="380" w:lineRule="exact"/>
              <w:rPr>
                <w:rFonts w:ascii="宋体" w:hAnsi="宋体" w:eastAsia="宋体" w:cs="宋体"/>
                <w:color w:val="auto"/>
                <w:sz w:val="24"/>
              </w:rPr>
            </w:pPr>
            <w:r>
              <w:rPr>
                <w:rFonts w:hint="eastAsia" w:ascii="宋体" w:hAnsi="宋体" w:eastAsia="宋体" w:cs="宋体"/>
                <w:color w:val="auto"/>
                <w:spacing w:val="4"/>
                <w:sz w:val="24"/>
              </w:rPr>
              <w:t>灵活运用案例式、讨论式、示范式、体验式等多种教学方法，</w:t>
            </w:r>
            <w:r>
              <w:rPr>
                <w:rFonts w:hint="eastAsia" w:ascii="宋体" w:hAnsi="宋体" w:eastAsia="宋体" w:cs="宋体"/>
                <w:color w:val="auto"/>
                <w:sz w:val="24"/>
              </w:rPr>
              <w:t>指导学生积极开展实践活动；</w:t>
            </w:r>
          </w:p>
          <w:p w14:paraId="59EDEF3D">
            <w:pPr>
              <w:spacing w:line="380" w:lineRule="exact"/>
              <w:rPr>
                <w:rFonts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pacing w:val="4"/>
                <w:sz w:val="24"/>
              </w:rPr>
              <w:t>合理运用多媒体、虚拟仿真、人工智能、课程在线平台等信息化教学手段和系统平台开展实践教学与学生指导。</w:t>
            </w:r>
          </w:p>
        </w:tc>
      </w:tr>
      <w:tr w14:paraId="7ADA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608" w:type="dxa"/>
            <w:vAlign w:val="center"/>
          </w:tcPr>
          <w:p w14:paraId="21F6209C">
            <w:pPr>
              <w:spacing w:line="380" w:lineRule="exact"/>
              <w:jc w:val="center"/>
              <w:rPr>
                <w:rFonts w:ascii="宋体" w:hAnsi="宋体" w:eastAsia="宋体" w:cs="宋体"/>
                <w:bCs/>
                <w:color w:val="auto"/>
                <w:sz w:val="24"/>
              </w:rPr>
            </w:pPr>
            <w:r>
              <w:rPr>
                <w:rFonts w:hint="eastAsia" w:ascii="宋体" w:hAnsi="宋体" w:eastAsia="宋体" w:cs="宋体"/>
                <w:bCs/>
                <w:color w:val="auto"/>
                <w:sz w:val="24"/>
              </w:rPr>
              <w:t>教学组织与管理</w:t>
            </w:r>
          </w:p>
          <w:p w14:paraId="1291FBCF">
            <w:pPr>
              <w:spacing w:line="380" w:lineRule="exact"/>
              <w:jc w:val="center"/>
              <w:rPr>
                <w:rFonts w:ascii="宋体" w:hAnsi="宋体" w:eastAsia="宋体" w:cs="宋体"/>
                <w:bCs/>
                <w:color w:val="auto"/>
                <w:sz w:val="24"/>
              </w:rPr>
            </w:pPr>
            <w:r>
              <w:rPr>
                <w:rFonts w:hint="eastAsia" w:ascii="宋体" w:hAnsi="宋体" w:eastAsia="宋体" w:cs="宋体"/>
                <w:bCs/>
                <w:color w:val="auto"/>
                <w:sz w:val="24"/>
              </w:rPr>
              <w:t>（10分）</w:t>
            </w:r>
          </w:p>
        </w:tc>
        <w:tc>
          <w:tcPr>
            <w:tcW w:w="6843" w:type="dxa"/>
            <w:vAlign w:val="center"/>
          </w:tcPr>
          <w:p w14:paraId="6123CAB6">
            <w:pPr>
              <w:spacing w:line="380" w:lineRule="exact"/>
              <w:rPr>
                <w:rFonts w:ascii="宋体" w:hAnsi="宋体" w:eastAsia="宋体" w:cs="宋体"/>
                <w:color w:val="auto"/>
                <w:sz w:val="24"/>
              </w:rPr>
            </w:pPr>
            <w:r>
              <w:rPr>
                <w:rFonts w:hint="eastAsia" w:ascii="宋体" w:hAnsi="宋体" w:eastAsia="宋体" w:cs="宋体"/>
                <w:color w:val="auto"/>
                <w:sz w:val="24"/>
              </w:rPr>
              <w:t>1.课堂教学管理严格，</w:t>
            </w:r>
            <w:r>
              <w:rPr>
                <w:rFonts w:hint="eastAsia" w:ascii="宋体" w:hAnsi="宋体" w:eastAsia="宋体" w:cs="宋体"/>
                <w:color w:val="auto"/>
                <w:spacing w:val="5"/>
                <w:sz w:val="24"/>
              </w:rPr>
              <w:t>学生到课率高、</w:t>
            </w:r>
            <w:r>
              <w:rPr>
                <w:rFonts w:hint="eastAsia" w:ascii="宋体" w:hAnsi="宋体" w:eastAsia="宋体" w:cs="宋体"/>
                <w:color w:val="auto"/>
                <w:sz w:val="24"/>
              </w:rPr>
              <w:t>注意力集中，课堂井然有序；</w:t>
            </w:r>
          </w:p>
          <w:p w14:paraId="4542DC22">
            <w:pPr>
              <w:spacing w:line="380" w:lineRule="exact"/>
              <w:rPr>
                <w:rFonts w:ascii="宋体" w:hAnsi="宋体" w:eastAsia="宋体" w:cs="宋体"/>
                <w:color w:val="auto"/>
                <w:sz w:val="24"/>
              </w:rPr>
            </w:pPr>
            <w:r>
              <w:rPr>
                <w:rFonts w:hint="eastAsia" w:ascii="宋体" w:hAnsi="宋体" w:eastAsia="宋体" w:cs="宋体"/>
                <w:color w:val="auto"/>
                <w:sz w:val="24"/>
              </w:rPr>
              <w:t>2.按授课计划组织教学，进度合理，详略得当，完成教学任务。</w:t>
            </w:r>
          </w:p>
        </w:tc>
      </w:tr>
      <w:tr w14:paraId="7A9D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608" w:type="dxa"/>
            <w:vAlign w:val="center"/>
          </w:tcPr>
          <w:p w14:paraId="10CB195A">
            <w:pPr>
              <w:spacing w:line="380" w:lineRule="exact"/>
              <w:jc w:val="center"/>
              <w:rPr>
                <w:rFonts w:ascii="宋体" w:hAnsi="宋体" w:eastAsia="宋体" w:cs="宋体"/>
                <w:bCs/>
                <w:color w:val="auto"/>
                <w:sz w:val="24"/>
              </w:rPr>
            </w:pPr>
            <w:r>
              <w:rPr>
                <w:rFonts w:hint="eastAsia" w:ascii="宋体" w:hAnsi="宋体" w:eastAsia="宋体" w:cs="宋体"/>
                <w:bCs/>
                <w:color w:val="auto"/>
                <w:sz w:val="24"/>
              </w:rPr>
              <w:t>教学效果</w:t>
            </w:r>
          </w:p>
          <w:p w14:paraId="0B85641C">
            <w:pPr>
              <w:spacing w:line="380" w:lineRule="exact"/>
              <w:jc w:val="center"/>
              <w:rPr>
                <w:rFonts w:ascii="宋体" w:hAnsi="宋体" w:eastAsia="宋体" w:cs="宋体"/>
                <w:bCs/>
                <w:color w:val="auto"/>
                <w:sz w:val="24"/>
              </w:rPr>
            </w:pPr>
            <w:r>
              <w:rPr>
                <w:rFonts w:hint="eastAsia" w:ascii="宋体" w:hAnsi="宋体" w:eastAsia="宋体" w:cs="宋体"/>
                <w:bCs/>
                <w:color w:val="auto"/>
                <w:sz w:val="24"/>
              </w:rPr>
              <w:t>（20分）</w:t>
            </w:r>
          </w:p>
        </w:tc>
        <w:tc>
          <w:tcPr>
            <w:tcW w:w="6843" w:type="dxa"/>
            <w:vAlign w:val="center"/>
          </w:tcPr>
          <w:p w14:paraId="50DD2251">
            <w:pPr>
              <w:spacing w:line="380" w:lineRule="exact"/>
              <w:rPr>
                <w:rFonts w:ascii="宋体" w:hAnsi="宋体" w:eastAsia="宋体" w:cs="宋体"/>
                <w:color w:val="auto"/>
                <w:sz w:val="24"/>
              </w:rPr>
            </w:pPr>
            <w:r>
              <w:rPr>
                <w:rFonts w:hint="eastAsia" w:ascii="宋体" w:hAnsi="宋体" w:eastAsia="宋体" w:cs="宋体"/>
                <w:color w:val="auto"/>
                <w:sz w:val="24"/>
              </w:rPr>
              <w:t>1.学生参与度和满意率高，能按要求完成实践任务；</w:t>
            </w:r>
          </w:p>
          <w:p w14:paraId="1F66A50B">
            <w:pPr>
              <w:spacing w:line="380" w:lineRule="exact"/>
              <w:rPr>
                <w:rFonts w:ascii="宋体" w:hAnsi="宋体" w:eastAsia="宋体" w:cs="宋体"/>
                <w:color w:val="auto"/>
                <w:sz w:val="24"/>
              </w:rPr>
            </w:pPr>
            <w:r>
              <w:rPr>
                <w:rFonts w:hint="eastAsia" w:ascii="宋体" w:hAnsi="宋体" w:eastAsia="宋体" w:cs="宋体"/>
                <w:color w:val="auto"/>
                <w:sz w:val="24"/>
              </w:rPr>
              <w:t>2.学生能够深化对课程理论知识的理解，较好掌握实践基本技能，有效提升创新能力与分析应用能力，课程思政育人效果好，达成了</w:t>
            </w:r>
            <w:r>
              <w:rPr>
                <w:rFonts w:hint="eastAsia" w:ascii="宋体" w:hAnsi="宋体" w:eastAsia="宋体" w:cs="宋体"/>
                <w:color w:val="auto"/>
                <w:sz w:val="24"/>
                <w:lang w:val="zh-CN"/>
              </w:rPr>
              <w:t>课程目标</w:t>
            </w:r>
            <w:r>
              <w:rPr>
                <w:rFonts w:hint="eastAsia" w:ascii="宋体" w:hAnsi="宋体" w:eastAsia="宋体" w:cs="宋体"/>
                <w:color w:val="auto"/>
                <w:sz w:val="24"/>
              </w:rPr>
              <w:t>。</w:t>
            </w:r>
          </w:p>
        </w:tc>
      </w:tr>
    </w:tbl>
    <w:p w14:paraId="557B17D1">
      <w:pPr>
        <w:spacing w:line="360" w:lineRule="exact"/>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 xml:space="preserve">    说明：此评价标准适用于督导和同行对教师的课堂教学（实践课）评价，按百分制计分，总分为100分。</w:t>
      </w:r>
    </w:p>
    <w:p w14:paraId="66E7E617">
      <w:pPr>
        <w:autoSpaceDE w:val="0"/>
        <w:autoSpaceDN w:val="0"/>
        <w:adjustRightInd w:val="0"/>
        <w:snapToGrid w:val="0"/>
        <w:spacing w:line="460" w:lineRule="exact"/>
        <w:rPr>
          <w:rFonts w:ascii="宋体" w:hAnsi="宋体" w:eastAsia="宋体" w:cs="宋体"/>
          <w:bCs/>
          <w:color w:val="auto"/>
          <w:sz w:val="24"/>
        </w:rPr>
      </w:pPr>
      <w:r>
        <w:rPr>
          <w:rFonts w:hint="eastAsia" w:ascii="宋体" w:hAnsi="宋体" w:eastAsia="宋体" w:cs="宋体"/>
          <w:bCs/>
          <w:color w:val="auto"/>
          <w:sz w:val="24"/>
          <w:lang w:val="zh-CN"/>
        </w:rPr>
        <w:t>附件</w:t>
      </w:r>
      <w:r>
        <w:rPr>
          <w:rFonts w:hint="eastAsia" w:ascii="宋体" w:hAnsi="宋体" w:eastAsia="宋体" w:cs="宋体"/>
          <w:bCs/>
          <w:color w:val="auto"/>
          <w:sz w:val="24"/>
          <w:lang w:val="en-US" w:eastAsia="zh-CN"/>
        </w:rPr>
        <w:t>3</w:t>
      </w:r>
      <w:r>
        <w:rPr>
          <w:rFonts w:hint="eastAsia" w:ascii="宋体" w:hAnsi="宋体" w:eastAsia="宋体" w:cs="宋体"/>
          <w:bCs/>
          <w:color w:val="auto"/>
          <w:sz w:val="24"/>
        </w:rPr>
        <w:t>：</w:t>
      </w:r>
    </w:p>
    <w:p w14:paraId="65EE169F">
      <w:pPr>
        <w:jc w:val="center"/>
        <w:rPr>
          <w:rFonts w:hint="eastAsia" w:ascii="黑体" w:hAnsi="宋体" w:eastAsia="黑体"/>
          <w:b/>
          <w:bCs/>
          <w:color w:val="auto"/>
          <w:sz w:val="36"/>
          <w:szCs w:val="36"/>
        </w:rPr>
      </w:pPr>
      <w:r>
        <w:rPr>
          <w:rFonts w:hint="eastAsia" w:ascii="黑体" w:hAnsi="宋体" w:eastAsia="黑体"/>
          <w:b/>
          <w:bCs/>
          <w:color w:val="auto"/>
          <w:sz w:val="36"/>
          <w:szCs w:val="36"/>
          <w:lang w:val="en-US" w:eastAsia="zh-CN"/>
        </w:rPr>
        <w:t>体育部</w:t>
      </w:r>
      <w:r>
        <w:rPr>
          <w:rFonts w:hint="eastAsia" w:ascii="黑体" w:hAnsi="宋体" w:eastAsia="黑体"/>
          <w:b/>
          <w:bCs/>
          <w:color w:val="auto"/>
          <w:sz w:val="36"/>
          <w:szCs w:val="36"/>
        </w:rPr>
        <w:t>教师</w:t>
      </w:r>
      <w:r>
        <w:rPr>
          <w:rFonts w:hint="eastAsia" w:ascii="黑体" w:hAnsi="宋体" w:eastAsia="黑体"/>
          <w:b/>
          <w:bCs/>
          <w:color w:val="auto"/>
          <w:sz w:val="36"/>
          <w:szCs w:val="36"/>
          <w:lang w:val="en-US" w:eastAsia="zh-CN"/>
        </w:rPr>
        <w:t>教育</w:t>
      </w:r>
      <w:r>
        <w:rPr>
          <w:rFonts w:hint="eastAsia" w:ascii="黑体" w:hAnsi="宋体" w:eastAsia="黑体"/>
          <w:b/>
          <w:bCs/>
          <w:color w:val="auto"/>
          <w:sz w:val="36"/>
          <w:szCs w:val="36"/>
        </w:rPr>
        <w:t>课程教学</w:t>
      </w:r>
      <w:r>
        <w:rPr>
          <w:rFonts w:hint="eastAsia" w:ascii="黑体" w:hAnsi="宋体" w:eastAsia="黑体"/>
          <w:b/>
          <w:bCs/>
          <w:color w:val="auto"/>
          <w:sz w:val="36"/>
          <w:szCs w:val="36"/>
          <w:lang w:val="en-US" w:eastAsia="zh-CN"/>
        </w:rPr>
        <w:t>教研室</w:t>
      </w:r>
      <w:r>
        <w:rPr>
          <w:rFonts w:hint="eastAsia" w:ascii="黑体" w:hAnsi="宋体" w:eastAsia="黑体"/>
          <w:b/>
          <w:bCs/>
          <w:color w:val="auto"/>
          <w:sz w:val="36"/>
          <w:szCs w:val="36"/>
        </w:rPr>
        <w:t>评价标准</w:t>
      </w:r>
    </w:p>
    <w:tbl>
      <w:tblPr>
        <w:tblStyle w:val="14"/>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7057"/>
      </w:tblGrid>
      <w:tr w14:paraId="41BC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522" w:type="dxa"/>
            <w:vAlign w:val="center"/>
          </w:tcPr>
          <w:p w14:paraId="60FF4326">
            <w:pPr>
              <w:spacing w:line="400" w:lineRule="exact"/>
              <w:jc w:val="center"/>
              <w:rPr>
                <w:rFonts w:ascii="宋体" w:hAnsi="宋体" w:eastAsia="宋体" w:cs="宋体"/>
                <w:b/>
                <w:bCs/>
                <w:color w:val="auto"/>
                <w:sz w:val="24"/>
              </w:rPr>
            </w:pPr>
            <w:r>
              <w:rPr>
                <w:rFonts w:hint="eastAsia" w:ascii="宋体" w:hAnsi="宋体" w:eastAsia="宋体" w:cs="宋体"/>
                <w:b/>
                <w:bCs/>
                <w:color w:val="auto"/>
                <w:sz w:val="24"/>
              </w:rPr>
              <w:t>评价项目</w:t>
            </w:r>
          </w:p>
          <w:p w14:paraId="6B2F4666">
            <w:pPr>
              <w:spacing w:line="400" w:lineRule="exact"/>
              <w:jc w:val="center"/>
              <w:rPr>
                <w:rFonts w:ascii="宋体" w:hAnsi="宋体" w:eastAsia="宋体" w:cs="宋体"/>
                <w:b/>
                <w:bCs/>
                <w:color w:val="auto"/>
                <w:sz w:val="24"/>
              </w:rPr>
            </w:pPr>
            <w:r>
              <w:rPr>
                <w:rFonts w:hint="eastAsia" w:ascii="宋体" w:hAnsi="宋体" w:eastAsia="宋体" w:cs="宋体"/>
                <w:b/>
                <w:bCs/>
                <w:color w:val="auto"/>
                <w:sz w:val="24"/>
              </w:rPr>
              <w:t>及分值</w:t>
            </w:r>
          </w:p>
        </w:tc>
        <w:tc>
          <w:tcPr>
            <w:tcW w:w="7057" w:type="dxa"/>
            <w:vAlign w:val="center"/>
          </w:tcPr>
          <w:p w14:paraId="56A9DAFE">
            <w:pPr>
              <w:spacing w:line="400" w:lineRule="exact"/>
              <w:jc w:val="center"/>
              <w:rPr>
                <w:rFonts w:ascii="宋体" w:hAnsi="宋体" w:eastAsia="宋体" w:cs="宋体"/>
                <w:b/>
                <w:bCs/>
                <w:color w:val="auto"/>
                <w:sz w:val="24"/>
              </w:rPr>
            </w:pPr>
            <w:r>
              <w:rPr>
                <w:rFonts w:hint="eastAsia" w:ascii="宋体" w:hAnsi="宋体" w:eastAsia="宋体" w:cs="宋体"/>
                <w:b/>
                <w:bCs/>
                <w:color w:val="auto"/>
                <w:sz w:val="24"/>
              </w:rPr>
              <w:t>评  价  标  准</w:t>
            </w:r>
          </w:p>
        </w:tc>
      </w:tr>
      <w:tr w14:paraId="19A7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1522" w:type="dxa"/>
            <w:vAlign w:val="center"/>
          </w:tcPr>
          <w:p w14:paraId="49B7A4A9">
            <w:pPr>
              <w:spacing w:line="400" w:lineRule="exact"/>
              <w:jc w:val="center"/>
              <w:rPr>
                <w:rFonts w:ascii="宋体" w:hAnsi="宋体" w:eastAsia="宋体" w:cs="宋体"/>
                <w:bCs/>
                <w:color w:val="auto"/>
                <w:sz w:val="24"/>
              </w:rPr>
            </w:pPr>
            <w:r>
              <w:rPr>
                <w:rFonts w:hint="eastAsia" w:ascii="宋体" w:hAnsi="宋体" w:eastAsia="宋体" w:cs="宋体"/>
                <w:bCs/>
                <w:color w:val="auto"/>
                <w:sz w:val="24"/>
              </w:rPr>
              <w:t>课堂教学</w:t>
            </w:r>
          </w:p>
          <w:p w14:paraId="2EF0CE46">
            <w:pPr>
              <w:spacing w:line="400" w:lineRule="exact"/>
              <w:jc w:val="center"/>
              <w:rPr>
                <w:rFonts w:ascii="宋体" w:hAnsi="宋体" w:eastAsia="宋体" w:cs="宋体"/>
                <w:bCs/>
                <w:color w:val="auto"/>
                <w:sz w:val="24"/>
              </w:rPr>
            </w:pPr>
            <w:r>
              <w:rPr>
                <w:rFonts w:hint="eastAsia" w:ascii="宋体" w:hAnsi="宋体" w:eastAsia="宋体" w:cs="宋体"/>
                <w:bCs/>
                <w:color w:val="auto"/>
                <w:sz w:val="24"/>
              </w:rPr>
              <w:t>（70分）</w:t>
            </w:r>
          </w:p>
        </w:tc>
        <w:tc>
          <w:tcPr>
            <w:tcW w:w="7057" w:type="dxa"/>
            <w:vAlign w:val="center"/>
          </w:tcPr>
          <w:p w14:paraId="6C78AF83">
            <w:pPr>
              <w:numPr>
                <w:ilvl w:val="0"/>
                <w:numId w:val="5"/>
              </w:numPr>
              <w:spacing w:line="400" w:lineRule="exact"/>
              <w:rPr>
                <w:rFonts w:ascii="宋体" w:hAnsi="宋体" w:eastAsia="宋体" w:cs="宋体"/>
                <w:color w:val="auto"/>
                <w:sz w:val="24"/>
              </w:rPr>
            </w:pPr>
            <w:r>
              <w:rPr>
                <w:rFonts w:hint="eastAsia" w:ascii="宋体" w:hAnsi="宋体" w:eastAsia="宋体" w:cs="宋体"/>
                <w:color w:val="auto"/>
                <w:sz w:val="24"/>
                <w:lang w:val="zh-CN"/>
              </w:rPr>
              <w:t>根据任课教师的课堂教学态度、教学内容、教学方法与手段、教学组织与管理及教学效果进行综合评价；</w:t>
            </w:r>
          </w:p>
          <w:p w14:paraId="0AD6635D">
            <w:pPr>
              <w:spacing w:line="400" w:lineRule="exact"/>
              <w:rPr>
                <w:rFonts w:ascii="宋体" w:hAnsi="宋体" w:eastAsia="宋体" w:cs="宋体"/>
                <w:color w:val="auto"/>
                <w:sz w:val="24"/>
              </w:rPr>
            </w:pPr>
            <w:r>
              <w:rPr>
                <w:rFonts w:hint="eastAsia" w:ascii="宋体" w:hAnsi="宋体" w:eastAsia="宋体" w:cs="宋体"/>
                <w:color w:val="auto"/>
                <w:sz w:val="24"/>
              </w:rPr>
              <w:t>2.对获得校级及以上课堂教学竞赛奖者可</w:t>
            </w:r>
            <w:r>
              <w:rPr>
                <w:rFonts w:hint="eastAsia" w:ascii="宋体" w:hAnsi="宋体" w:eastAsia="宋体" w:cs="宋体"/>
                <w:color w:val="auto"/>
                <w:sz w:val="24"/>
                <w:lang w:val="zh-CN"/>
              </w:rPr>
              <w:t>酌情加分，对违反课堂教学管理规定行为者可酌情扣分。</w:t>
            </w:r>
          </w:p>
        </w:tc>
      </w:tr>
      <w:tr w14:paraId="668F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1522" w:type="dxa"/>
            <w:vAlign w:val="center"/>
          </w:tcPr>
          <w:p w14:paraId="27F32FC7">
            <w:pPr>
              <w:spacing w:line="400" w:lineRule="exact"/>
              <w:jc w:val="center"/>
              <w:rPr>
                <w:rFonts w:ascii="宋体" w:hAnsi="宋体" w:eastAsia="宋体" w:cs="宋体"/>
                <w:bCs/>
                <w:color w:val="auto"/>
                <w:sz w:val="24"/>
              </w:rPr>
            </w:pPr>
            <w:r>
              <w:rPr>
                <w:rFonts w:hint="eastAsia" w:ascii="宋体" w:hAnsi="宋体" w:eastAsia="宋体" w:cs="宋体"/>
                <w:color w:val="auto"/>
                <w:sz w:val="24"/>
                <w:lang w:val="zh-CN"/>
              </w:rPr>
              <w:t>教学资源、</w:t>
            </w:r>
            <w:r>
              <w:rPr>
                <w:rFonts w:hint="eastAsia" w:ascii="宋体" w:hAnsi="宋体" w:eastAsia="宋体" w:cs="宋体"/>
                <w:bCs/>
                <w:color w:val="auto"/>
                <w:sz w:val="24"/>
              </w:rPr>
              <w:t>教案与授课计划</w:t>
            </w:r>
          </w:p>
          <w:p w14:paraId="7D098D56">
            <w:pPr>
              <w:spacing w:line="400" w:lineRule="exact"/>
              <w:jc w:val="center"/>
              <w:rPr>
                <w:rFonts w:ascii="宋体" w:hAnsi="宋体" w:eastAsia="宋体" w:cs="宋体"/>
                <w:bCs/>
                <w:color w:val="auto"/>
                <w:sz w:val="24"/>
              </w:rPr>
            </w:pPr>
            <w:r>
              <w:rPr>
                <w:rFonts w:hint="eastAsia" w:ascii="宋体" w:hAnsi="宋体" w:eastAsia="宋体" w:cs="宋体"/>
                <w:bCs/>
                <w:color w:val="auto"/>
                <w:spacing w:val="-20"/>
                <w:sz w:val="24"/>
              </w:rPr>
              <w:t>（10分）</w:t>
            </w:r>
          </w:p>
        </w:tc>
        <w:tc>
          <w:tcPr>
            <w:tcW w:w="7057" w:type="dxa"/>
            <w:vAlign w:val="center"/>
          </w:tcPr>
          <w:p w14:paraId="1F13DCB5">
            <w:pPr>
              <w:spacing w:line="400" w:lineRule="exact"/>
              <w:rPr>
                <w:rFonts w:ascii="宋体" w:hAnsi="宋体" w:eastAsia="宋体" w:cs="宋体"/>
                <w:color w:val="auto"/>
                <w:sz w:val="24"/>
                <w:lang w:val="zh-CN"/>
              </w:rPr>
            </w:pPr>
            <w:r>
              <w:rPr>
                <w:rFonts w:hint="eastAsia" w:ascii="宋体" w:hAnsi="宋体" w:eastAsia="宋体" w:cs="宋体"/>
                <w:color w:val="auto"/>
                <w:sz w:val="24"/>
              </w:rPr>
              <w:t>1.</w:t>
            </w:r>
            <w:r>
              <w:rPr>
                <w:rFonts w:hint="eastAsia" w:ascii="宋体" w:hAnsi="宋体" w:eastAsia="宋体" w:cs="宋体"/>
                <w:color w:val="auto"/>
                <w:sz w:val="24"/>
                <w:lang w:val="zh-CN"/>
              </w:rPr>
              <w:t>教学资源较丰富；</w:t>
            </w:r>
          </w:p>
          <w:p w14:paraId="0507E249">
            <w:pPr>
              <w:numPr>
                <w:ilvl w:val="0"/>
                <w:numId w:val="5"/>
              </w:numPr>
              <w:spacing w:line="400" w:lineRule="exact"/>
              <w:rPr>
                <w:rFonts w:ascii="宋体" w:hAnsi="宋体" w:eastAsia="宋体" w:cs="宋体"/>
                <w:color w:val="auto"/>
                <w:sz w:val="24"/>
                <w:lang w:val="zh-CN"/>
              </w:rPr>
            </w:pPr>
            <w:r>
              <w:rPr>
                <w:rFonts w:hint="eastAsia" w:ascii="宋体" w:hAnsi="宋体" w:eastAsia="宋体" w:cs="宋体"/>
                <w:color w:val="auto"/>
                <w:sz w:val="24"/>
                <w:lang w:val="zh-CN"/>
              </w:rPr>
              <w:t>教案、</w:t>
            </w:r>
            <w:r>
              <w:rPr>
                <w:rFonts w:hint="eastAsia" w:ascii="宋体" w:hAnsi="宋体" w:eastAsia="宋体" w:cs="宋体"/>
                <w:color w:val="auto"/>
                <w:sz w:val="24"/>
              </w:rPr>
              <w:t>PPT课件</w:t>
            </w:r>
            <w:r>
              <w:rPr>
                <w:rFonts w:hint="eastAsia" w:ascii="宋体" w:hAnsi="宋体" w:eastAsia="宋体" w:cs="宋体"/>
                <w:color w:val="auto"/>
                <w:sz w:val="24"/>
                <w:lang w:val="zh-CN"/>
              </w:rPr>
              <w:t>和授课计划规范、内容充实、及时更新，</w:t>
            </w:r>
          </w:p>
          <w:p w14:paraId="7BA9C1B7">
            <w:pPr>
              <w:spacing w:line="400" w:lineRule="exact"/>
              <w:rPr>
                <w:rFonts w:ascii="宋体" w:hAnsi="宋体" w:eastAsia="宋体" w:cs="宋体"/>
                <w:color w:val="auto"/>
                <w:sz w:val="24"/>
              </w:rPr>
            </w:pPr>
            <w:r>
              <w:rPr>
                <w:rFonts w:hint="eastAsia" w:ascii="宋体" w:hAnsi="宋体" w:eastAsia="宋体" w:cs="宋体"/>
                <w:color w:val="auto"/>
                <w:sz w:val="24"/>
                <w:lang w:val="zh-CN"/>
              </w:rPr>
              <w:t>中级及以下职称教师需备详案，高级职称者可用简案；</w:t>
            </w:r>
          </w:p>
          <w:p w14:paraId="235AAFBB">
            <w:pPr>
              <w:numPr>
                <w:ilvl w:val="0"/>
                <w:numId w:val="5"/>
              </w:numPr>
              <w:spacing w:line="400" w:lineRule="exact"/>
              <w:rPr>
                <w:rFonts w:ascii="宋体" w:hAnsi="宋体" w:eastAsia="宋体" w:cs="宋体"/>
                <w:color w:val="auto"/>
                <w:sz w:val="24"/>
              </w:rPr>
            </w:pPr>
            <w:r>
              <w:rPr>
                <w:rFonts w:hint="eastAsia" w:ascii="宋体" w:hAnsi="宋体" w:eastAsia="宋体" w:cs="宋体"/>
                <w:color w:val="auto"/>
                <w:sz w:val="24"/>
              </w:rPr>
              <w:t>授课进度应与授课计划基本一致；</w:t>
            </w:r>
          </w:p>
          <w:p w14:paraId="1D277071">
            <w:pPr>
              <w:numPr>
                <w:ilvl w:val="0"/>
                <w:numId w:val="5"/>
              </w:numPr>
              <w:spacing w:line="400" w:lineRule="exact"/>
              <w:rPr>
                <w:rFonts w:ascii="宋体" w:hAnsi="宋体" w:eastAsia="宋体" w:cs="宋体"/>
                <w:color w:val="auto"/>
                <w:sz w:val="24"/>
              </w:rPr>
            </w:pPr>
            <w:r>
              <w:rPr>
                <w:rFonts w:hint="eastAsia" w:ascii="宋体" w:hAnsi="宋体" w:eastAsia="宋体" w:cs="宋体"/>
                <w:color w:val="auto"/>
                <w:sz w:val="24"/>
              </w:rPr>
              <w:t>每学期授课异动次数超过3次（含3次）以上</w:t>
            </w:r>
            <w:r>
              <w:rPr>
                <w:rFonts w:hint="eastAsia" w:ascii="宋体" w:hAnsi="宋体" w:eastAsia="宋体" w:cs="宋体"/>
                <w:color w:val="auto"/>
                <w:sz w:val="24"/>
                <w:lang w:val="zh-CN"/>
              </w:rPr>
              <w:t>酌情</w:t>
            </w:r>
            <w:r>
              <w:rPr>
                <w:rFonts w:hint="eastAsia" w:ascii="宋体" w:hAnsi="宋体" w:eastAsia="宋体" w:cs="宋体"/>
                <w:color w:val="auto"/>
                <w:sz w:val="24"/>
              </w:rPr>
              <w:t>扣分。</w:t>
            </w:r>
          </w:p>
        </w:tc>
      </w:tr>
      <w:tr w14:paraId="5539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1522" w:type="dxa"/>
            <w:vAlign w:val="center"/>
          </w:tcPr>
          <w:p w14:paraId="2B42FCCA">
            <w:pPr>
              <w:spacing w:line="400" w:lineRule="exact"/>
              <w:jc w:val="center"/>
              <w:rPr>
                <w:rFonts w:ascii="宋体" w:hAnsi="宋体" w:eastAsia="宋体" w:cs="宋体"/>
                <w:bCs/>
                <w:color w:val="auto"/>
                <w:sz w:val="24"/>
              </w:rPr>
            </w:pPr>
            <w:r>
              <w:rPr>
                <w:rFonts w:hint="eastAsia" w:ascii="宋体" w:hAnsi="宋体" w:eastAsia="宋体" w:cs="宋体"/>
                <w:bCs/>
                <w:color w:val="auto"/>
                <w:sz w:val="24"/>
              </w:rPr>
              <w:t>作业批改与辅导答疑</w:t>
            </w:r>
          </w:p>
          <w:p w14:paraId="3EFF7053">
            <w:pPr>
              <w:spacing w:line="400" w:lineRule="exact"/>
              <w:jc w:val="center"/>
              <w:rPr>
                <w:rFonts w:ascii="宋体" w:hAnsi="宋体" w:eastAsia="宋体" w:cs="宋体"/>
                <w:bCs/>
                <w:color w:val="auto"/>
                <w:sz w:val="24"/>
              </w:rPr>
            </w:pPr>
            <w:r>
              <w:rPr>
                <w:rFonts w:hint="eastAsia" w:ascii="宋体" w:hAnsi="宋体" w:eastAsia="宋体" w:cs="宋体"/>
                <w:bCs/>
                <w:color w:val="auto"/>
                <w:spacing w:val="-20"/>
                <w:sz w:val="24"/>
              </w:rPr>
              <w:t>（5分）</w:t>
            </w:r>
          </w:p>
        </w:tc>
        <w:tc>
          <w:tcPr>
            <w:tcW w:w="7057" w:type="dxa"/>
            <w:vAlign w:val="center"/>
          </w:tcPr>
          <w:p w14:paraId="1A745C7B">
            <w:pPr>
              <w:numPr>
                <w:ilvl w:val="0"/>
                <w:numId w:val="6"/>
              </w:numPr>
              <w:spacing w:line="400" w:lineRule="exact"/>
              <w:rPr>
                <w:rFonts w:ascii="宋体" w:hAnsi="宋体" w:eastAsia="宋体" w:cs="宋体"/>
                <w:color w:val="auto"/>
                <w:sz w:val="24"/>
                <w:lang w:val="zh-CN"/>
              </w:rPr>
            </w:pPr>
            <w:r>
              <w:rPr>
                <w:rFonts w:hint="eastAsia" w:ascii="宋体" w:hAnsi="宋体" w:eastAsia="宋体" w:cs="宋体"/>
                <w:color w:val="auto"/>
                <w:sz w:val="24"/>
                <w:lang w:val="zh-CN"/>
              </w:rPr>
              <w:t>根据课程的特点和教学大纲要求布置、检查作业（作业次数、作业形式由教研室根据课程特点与教学实际来确定）；</w:t>
            </w:r>
          </w:p>
          <w:p w14:paraId="11DE9758">
            <w:pPr>
              <w:numPr>
                <w:ilvl w:val="0"/>
                <w:numId w:val="6"/>
              </w:numPr>
              <w:spacing w:line="400" w:lineRule="exact"/>
              <w:rPr>
                <w:rFonts w:ascii="宋体" w:hAnsi="宋体" w:eastAsia="宋体" w:cs="宋体"/>
                <w:color w:val="auto"/>
                <w:sz w:val="24"/>
              </w:rPr>
            </w:pPr>
            <w:r>
              <w:rPr>
                <w:rFonts w:hint="eastAsia" w:ascii="宋体" w:hAnsi="宋体" w:eastAsia="宋体" w:cs="宋体"/>
                <w:color w:val="auto"/>
                <w:sz w:val="24"/>
                <w:lang w:val="zh-CN"/>
              </w:rPr>
              <w:t>指导学生学科竞赛获得</w:t>
            </w:r>
            <w:r>
              <w:rPr>
                <w:rFonts w:hint="eastAsia" w:ascii="宋体" w:hAnsi="宋体" w:eastAsia="宋体" w:cs="宋体"/>
                <w:color w:val="auto"/>
                <w:sz w:val="24"/>
              </w:rPr>
              <w:t>校级及以上奖励者</w:t>
            </w:r>
            <w:r>
              <w:rPr>
                <w:rFonts w:hint="eastAsia" w:ascii="宋体" w:hAnsi="宋体" w:eastAsia="宋体" w:cs="宋体"/>
                <w:color w:val="auto"/>
                <w:sz w:val="24"/>
                <w:lang w:val="zh-CN"/>
              </w:rPr>
              <w:t>可适当加分。</w:t>
            </w:r>
          </w:p>
        </w:tc>
      </w:tr>
      <w:tr w14:paraId="29AA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1522" w:type="dxa"/>
            <w:vAlign w:val="center"/>
          </w:tcPr>
          <w:p w14:paraId="7F1DEAFA">
            <w:pPr>
              <w:spacing w:line="400" w:lineRule="exact"/>
              <w:jc w:val="center"/>
              <w:rPr>
                <w:rFonts w:ascii="宋体" w:hAnsi="宋体" w:eastAsia="宋体" w:cs="宋体"/>
                <w:bCs/>
                <w:color w:val="auto"/>
                <w:sz w:val="24"/>
              </w:rPr>
            </w:pPr>
            <w:r>
              <w:rPr>
                <w:rFonts w:hint="eastAsia" w:ascii="宋体" w:hAnsi="宋体" w:eastAsia="宋体" w:cs="宋体"/>
                <w:bCs/>
                <w:color w:val="auto"/>
                <w:sz w:val="24"/>
              </w:rPr>
              <w:t>听课与教研教改</w:t>
            </w:r>
          </w:p>
          <w:p w14:paraId="77C9A7D2">
            <w:pPr>
              <w:spacing w:line="400" w:lineRule="exact"/>
              <w:jc w:val="center"/>
              <w:rPr>
                <w:rFonts w:ascii="宋体" w:hAnsi="宋体" w:eastAsia="宋体" w:cs="宋体"/>
                <w:bCs/>
                <w:color w:val="auto"/>
                <w:spacing w:val="-20"/>
                <w:sz w:val="24"/>
              </w:rPr>
            </w:pPr>
            <w:r>
              <w:rPr>
                <w:rFonts w:hint="eastAsia" w:ascii="宋体" w:hAnsi="宋体" w:eastAsia="宋体" w:cs="宋体"/>
                <w:bCs/>
                <w:color w:val="auto"/>
                <w:spacing w:val="-20"/>
                <w:sz w:val="24"/>
              </w:rPr>
              <w:t>（10分）</w:t>
            </w:r>
          </w:p>
        </w:tc>
        <w:tc>
          <w:tcPr>
            <w:tcW w:w="7057" w:type="dxa"/>
            <w:vAlign w:val="center"/>
          </w:tcPr>
          <w:p w14:paraId="49567000">
            <w:pPr>
              <w:numPr>
                <w:ilvl w:val="0"/>
                <w:numId w:val="7"/>
              </w:numPr>
              <w:spacing w:line="400" w:lineRule="exact"/>
              <w:rPr>
                <w:rFonts w:ascii="宋体" w:hAnsi="宋体" w:eastAsia="宋体" w:cs="宋体"/>
                <w:color w:val="auto"/>
                <w:sz w:val="24"/>
                <w:lang w:val="zh-CN"/>
              </w:rPr>
            </w:pPr>
            <w:r>
              <w:rPr>
                <w:rFonts w:hint="eastAsia" w:ascii="宋体" w:hAnsi="宋体" w:eastAsia="宋体" w:cs="宋体"/>
                <w:color w:val="auto"/>
                <w:sz w:val="24"/>
                <w:lang w:val="zh-CN"/>
              </w:rPr>
              <w:t>每学期至少听课5节，</w:t>
            </w:r>
            <w:r>
              <w:rPr>
                <w:rFonts w:hint="eastAsia" w:ascii="宋体" w:hAnsi="宋体" w:eastAsia="宋体" w:cs="宋体"/>
                <w:color w:val="auto"/>
                <w:sz w:val="24"/>
                <w:lang w:val="en-US" w:eastAsia="zh-CN"/>
              </w:rPr>
              <w:t>且教师教育课程</w:t>
            </w:r>
            <w:r>
              <w:rPr>
                <w:rFonts w:hint="eastAsia" w:ascii="宋体" w:hAnsi="宋体" w:eastAsia="宋体" w:cs="宋体"/>
                <w:color w:val="auto"/>
                <w:sz w:val="24"/>
                <w:lang w:val="zh-CN"/>
              </w:rPr>
              <w:t>听课</w:t>
            </w:r>
            <w:r>
              <w:rPr>
                <w:rFonts w:hint="eastAsia" w:ascii="宋体" w:hAnsi="宋体" w:eastAsia="宋体" w:cs="宋体"/>
                <w:color w:val="auto"/>
                <w:sz w:val="24"/>
                <w:lang w:val="en-US" w:eastAsia="zh-CN"/>
              </w:rPr>
              <w:t>达3次，</w:t>
            </w:r>
            <w:r>
              <w:rPr>
                <w:rFonts w:hint="eastAsia" w:ascii="宋体" w:hAnsi="宋体" w:eastAsia="宋体" w:cs="宋体"/>
                <w:color w:val="auto"/>
                <w:sz w:val="24"/>
                <w:lang w:val="zh-CN"/>
              </w:rPr>
              <w:t>记录详细，有具体评价意见。</w:t>
            </w:r>
          </w:p>
          <w:p w14:paraId="5BCB484D">
            <w:pPr>
              <w:spacing w:line="400" w:lineRule="exact"/>
              <w:rPr>
                <w:rFonts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每学期参加教研活动不少于8次，</w:t>
            </w:r>
            <w:r>
              <w:rPr>
                <w:rFonts w:hint="eastAsia" w:ascii="宋体" w:hAnsi="宋体" w:eastAsia="宋体" w:cs="宋体"/>
                <w:color w:val="auto"/>
                <w:sz w:val="24"/>
                <w:lang w:val="en-US" w:eastAsia="zh-CN"/>
              </w:rPr>
              <w:t>至少1次为主讲或主持</w:t>
            </w:r>
            <w:r>
              <w:rPr>
                <w:rFonts w:hint="eastAsia" w:ascii="宋体" w:hAnsi="宋体" w:eastAsia="宋体" w:cs="宋体"/>
                <w:color w:val="auto"/>
                <w:sz w:val="24"/>
                <w:lang w:val="zh-CN"/>
              </w:rPr>
              <w:t>；</w:t>
            </w:r>
          </w:p>
          <w:p w14:paraId="4003B7C8">
            <w:pPr>
              <w:spacing w:line="400" w:lineRule="exact"/>
              <w:rPr>
                <w:rFonts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zh-CN"/>
              </w:rPr>
              <w:t>认真准备、积极参与教研活动，合作意识强，</w:t>
            </w:r>
            <w:r>
              <w:rPr>
                <w:rFonts w:hint="eastAsia" w:ascii="宋体" w:hAnsi="宋体" w:eastAsia="宋体" w:cs="宋体"/>
                <w:color w:val="auto"/>
                <w:sz w:val="24"/>
                <w:lang w:val="en-US" w:eastAsia="zh-CN"/>
              </w:rPr>
              <w:t>至少参加1次中学课程标准的学习与研讨或到中学参加一次教研活动</w:t>
            </w:r>
            <w:r>
              <w:rPr>
                <w:rFonts w:hint="eastAsia" w:ascii="宋体" w:hAnsi="宋体" w:eastAsia="宋体" w:cs="宋体"/>
                <w:color w:val="auto"/>
                <w:sz w:val="24"/>
                <w:lang w:val="zh-CN"/>
              </w:rPr>
              <w:t>；</w:t>
            </w:r>
          </w:p>
          <w:p w14:paraId="336C4ED0">
            <w:pPr>
              <w:spacing w:line="400" w:lineRule="exact"/>
              <w:rPr>
                <w:rFonts w:ascii="宋体" w:hAnsi="宋体" w:eastAsia="宋体" w:cs="宋体"/>
                <w:color w:val="auto"/>
                <w:sz w:val="24"/>
              </w:rPr>
            </w:pPr>
            <w:r>
              <w:rPr>
                <w:rFonts w:hint="eastAsia" w:ascii="宋体" w:hAnsi="宋体" w:eastAsia="宋体" w:cs="宋体"/>
                <w:color w:val="auto"/>
                <w:sz w:val="24"/>
              </w:rPr>
              <w:t>4.主持立项</w:t>
            </w:r>
            <w:r>
              <w:rPr>
                <w:rFonts w:hint="eastAsia" w:ascii="宋体" w:hAnsi="宋体" w:eastAsia="宋体" w:cs="宋体"/>
                <w:color w:val="auto"/>
                <w:sz w:val="24"/>
                <w:lang w:val="en-US" w:eastAsia="zh-CN"/>
              </w:rPr>
              <w:t>研究中学教育教学的</w:t>
            </w:r>
            <w:r>
              <w:rPr>
                <w:rFonts w:hint="eastAsia" w:ascii="宋体" w:hAnsi="宋体" w:eastAsia="宋体" w:cs="宋体"/>
                <w:color w:val="auto"/>
                <w:sz w:val="24"/>
              </w:rPr>
              <w:t>教改项目、教学建设项目、</w:t>
            </w:r>
            <w:r>
              <w:rPr>
                <w:rFonts w:hint="eastAsia" w:ascii="宋体" w:hAnsi="宋体" w:eastAsia="宋体" w:cs="宋体"/>
                <w:color w:val="auto"/>
                <w:sz w:val="24"/>
                <w:lang w:val="zh-CN"/>
              </w:rPr>
              <w:t>公开发表</w:t>
            </w:r>
            <w:r>
              <w:rPr>
                <w:rFonts w:hint="eastAsia" w:ascii="宋体" w:hAnsi="宋体" w:eastAsia="宋体" w:cs="宋体"/>
                <w:color w:val="auto"/>
                <w:sz w:val="24"/>
                <w:lang w:val="en-US" w:eastAsia="zh-CN"/>
              </w:rPr>
              <w:t>教学相关的</w:t>
            </w:r>
            <w:r>
              <w:rPr>
                <w:rFonts w:hint="eastAsia" w:ascii="宋体" w:hAnsi="宋体" w:eastAsia="宋体" w:cs="宋体"/>
                <w:color w:val="auto"/>
                <w:sz w:val="24"/>
                <w:lang w:val="zh-CN"/>
              </w:rPr>
              <w:t>教研论文者可适当加分。</w:t>
            </w:r>
          </w:p>
        </w:tc>
      </w:tr>
      <w:tr w14:paraId="561E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1522" w:type="dxa"/>
            <w:vAlign w:val="center"/>
          </w:tcPr>
          <w:p w14:paraId="4E0A05BC">
            <w:pPr>
              <w:spacing w:line="400" w:lineRule="exact"/>
              <w:jc w:val="center"/>
              <w:rPr>
                <w:rFonts w:ascii="宋体" w:hAnsi="宋体" w:eastAsia="宋体" w:cs="宋体"/>
                <w:color w:val="auto"/>
                <w:sz w:val="24"/>
              </w:rPr>
            </w:pPr>
            <w:r>
              <w:rPr>
                <w:rFonts w:hint="eastAsia" w:ascii="宋体" w:hAnsi="宋体" w:eastAsia="宋体" w:cs="宋体"/>
                <w:color w:val="auto"/>
                <w:sz w:val="24"/>
              </w:rPr>
              <w:t>考试环节</w:t>
            </w:r>
          </w:p>
          <w:p w14:paraId="50996FDB">
            <w:pPr>
              <w:spacing w:line="400" w:lineRule="exact"/>
              <w:jc w:val="center"/>
              <w:rPr>
                <w:rFonts w:ascii="宋体" w:hAnsi="宋体" w:eastAsia="宋体" w:cs="宋体"/>
                <w:color w:val="auto"/>
                <w:sz w:val="24"/>
              </w:rPr>
            </w:pPr>
            <w:r>
              <w:rPr>
                <w:rFonts w:hint="eastAsia" w:ascii="宋体" w:hAnsi="宋体" w:eastAsia="宋体" w:cs="宋体"/>
                <w:color w:val="auto"/>
                <w:sz w:val="24"/>
              </w:rPr>
              <w:t>（5分）</w:t>
            </w:r>
          </w:p>
        </w:tc>
        <w:tc>
          <w:tcPr>
            <w:tcW w:w="7057" w:type="dxa"/>
            <w:vAlign w:val="center"/>
          </w:tcPr>
          <w:p w14:paraId="43317912">
            <w:pPr>
              <w:spacing w:line="400" w:lineRule="exact"/>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考评</w:t>
            </w:r>
            <w:r>
              <w:rPr>
                <w:rFonts w:hint="eastAsia" w:ascii="宋体" w:hAnsi="宋体" w:eastAsia="宋体" w:cs="宋体"/>
                <w:color w:val="auto"/>
                <w:sz w:val="24"/>
              </w:rPr>
              <w:t xml:space="preserve">规范正确；分数统计与登录准确无误； </w:t>
            </w:r>
          </w:p>
          <w:p w14:paraId="72B75D45">
            <w:pPr>
              <w:spacing w:line="400" w:lineRule="exact"/>
              <w:rPr>
                <w:rFonts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.课程目标达成度评价合乎要求，有教与学两方面的经验与教训；</w:t>
            </w:r>
          </w:p>
          <w:p w14:paraId="3262A98C">
            <w:pPr>
              <w:spacing w:line="400" w:lineRule="exact"/>
              <w:rPr>
                <w:rFonts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.按要求详细填写“学生考勤、成绩登记册”。</w:t>
            </w:r>
          </w:p>
        </w:tc>
      </w:tr>
    </w:tbl>
    <w:p w14:paraId="341108E5">
      <w:pPr>
        <w:snapToGrid w:val="0"/>
        <w:spacing w:line="440" w:lineRule="exact"/>
        <w:jc w:val="left"/>
        <w:rPr>
          <w:rFonts w:hint="eastAsia" w:asciiTheme="minorEastAsia" w:hAnsiTheme="minorEastAsia" w:cstheme="minorEastAsia"/>
          <w:color w:val="auto"/>
          <w:kern w:val="0"/>
          <w:sz w:val="28"/>
          <w:szCs w:val="28"/>
          <w:highlight w:val="none"/>
        </w:rPr>
      </w:pPr>
      <w:r>
        <w:rPr>
          <w:rFonts w:hint="eastAsia" w:ascii="宋体" w:hAnsi="宋体" w:eastAsia="宋体" w:cs="宋体"/>
          <w:color w:val="auto"/>
          <w:sz w:val="21"/>
          <w:szCs w:val="21"/>
        </w:rPr>
        <w:t>说明：此评价标准适用于各教学单位教师课程教学评价小组对本单位任课教师课程教学进行集体评价，按百分制计分，总分为100分。</w:t>
      </w:r>
    </w:p>
    <w:p w14:paraId="370028ED">
      <w:pPr>
        <w:pStyle w:val="3"/>
        <w:bidi w:val="0"/>
        <w:jc w:val="center"/>
        <w:rPr>
          <w:rFonts w:ascii="方正小标宋简体" w:eastAsia="方正小标宋简体"/>
          <w:color w:val="auto"/>
          <w:szCs w:val="36"/>
        </w:rPr>
      </w:pPr>
      <w:bookmarkStart w:id="31" w:name="_Toc15448"/>
      <w:r>
        <w:rPr>
          <w:rFonts w:hint="eastAsia"/>
          <w:color w:val="auto"/>
          <w:sz w:val="36"/>
          <w:szCs w:val="36"/>
          <w:lang w:val="en-US" w:eastAsia="zh-CN"/>
        </w:rPr>
        <w:t>体育部</w:t>
      </w:r>
      <w:r>
        <w:rPr>
          <w:color w:val="auto"/>
          <w:sz w:val="36"/>
          <w:szCs w:val="36"/>
        </w:rPr>
        <w:t>主要教学环节质量及考核标准</w:t>
      </w:r>
      <w:bookmarkEnd w:id="31"/>
    </w:p>
    <w:p w14:paraId="4DB2CE8B">
      <w:pPr>
        <w:jc w:val="center"/>
        <w:rPr>
          <w:rFonts w:ascii="方正小标宋简体" w:eastAsia="方正小标宋简体"/>
          <w:color w:val="auto"/>
          <w:sz w:val="40"/>
          <w:szCs w:val="36"/>
        </w:rPr>
      </w:pPr>
      <w:r>
        <w:rPr>
          <w:rFonts w:hint="eastAsia" w:ascii="方正小标宋简体" w:eastAsia="方正小标宋简体"/>
          <w:color w:val="auto"/>
          <w:sz w:val="28"/>
          <w:szCs w:val="28"/>
        </w:rPr>
        <w:t>（202</w:t>
      </w:r>
      <w:r>
        <w:rPr>
          <w:rFonts w:hint="eastAsia" w:ascii="方正小标宋简体" w:eastAsia="方正小标宋简体"/>
          <w:color w:val="auto"/>
          <w:sz w:val="28"/>
          <w:szCs w:val="28"/>
          <w:lang w:val="en-US" w:eastAsia="zh-CN"/>
        </w:rPr>
        <w:t>5</w:t>
      </w:r>
      <w:r>
        <w:rPr>
          <w:rFonts w:hint="eastAsia" w:ascii="方正小标宋简体" w:eastAsia="方正小标宋简体"/>
          <w:color w:val="auto"/>
          <w:sz w:val="28"/>
          <w:szCs w:val="28"/>
        </w:rPr>
        <w:t>年修订）</w:t>
      </w:r>
    </w:p>
    <w:p w14:paraId="5AD5895F">
      <w:pPr>
        <w:spacing w:line="360" w:lineRule="auto"/>
        <w:ind w:firstLine="640" w:firstLineChars="200"/>
        <w:jc w:val="left"/>
        <w:rPr>
          <w:rFonts w:ascii="仿宋_GB2312" w:eastAsia="仿宋_GB2312"/>
          <w:color w:val="auto"/>
          <w:sz w:val="32"/>
          <w:szCs w:val="32"/>
        </w:rPr>
      </w:pPr>
    </w:p>
    <w:p w14:paraId="7D3103C6">
      <w:pPr>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为了进一步加强</w:t>
      </w:r>
      <w:r>
        <w:rPr>
          <w:rFonts w:hint="eastAsia" w:ascii="宋体" w:hAnsi="宋体" w:eastAsia="宋体" w:cs="宋体"/>
          <w:color w:val="auto"/>
          <w:sz w:val="28"/>
          <w:szCs w:val="28"/>
          <w:lang w:val="en-US" w:eastAsia="zh-CN"/>
        </w:rPr>
        <w:t>体育部</w:t>
      </w:r>
      <w:r>
        <w:rPr>
          <w:rFonts w:hint="eastAsia" w:ascii="宋体" w:hAnsi="宋体" w:eastAsia="宋体" w:cs="宋体"/>
          <w:color w:val="auto"/>
          <w:sz w:val="28"/>
          <w:szCs w:val="28"/>
        </w:rPr>
        <w:t>教学过程管理，优化教学秩序，规范教学要求，提高教学质量，特</w:t>
      </w:r>
      <w:r>
        <w:rPr>
          <w:rFonts w:hint="eastAsia" w:ascii="宋体" w:hAnsi="宋体" w:eastAsia="宋体" w:cs="宋体"/>
          <w:color w:val="auto"/>
          <w:sz w:val="28"/>
          <w:szCs w:val="28"/>
          <w:lang w:val="en-US" w:eastAsia="zh-CN"/>
        </w:rPr>
        <w:t>根据湖南女子学院各教学环节质量标准</w:t>
      </w:r>
      <w:r>
        <w:rPr>
          <w:rFonts w:hint="eastAsia" w:ascii="宋体" w:hAnsi="宋体" w:eastAsia="宋体" w:cs="宋体"/>
          <w:color w:val="auto"/>
          <w:sz w:val="28"/>
          <w:szCs w:val="28"/>
        </w:rPr>
        <w:t xml:space="preserve">制定以下主要教学环节的质量及考核标准。 </w:t>
      </w:r>
    </w:p>
    <w:p w14:paraId="103BBDA3">
      <w:pPr>
        <w:jc w:val="center"/>
        <w:rPr>
          <w:b/>
          <w:color w:val="auto"/>
          <w:sz w:val="28"/>
          <w:szCs w:val="28"/>
        </w:rPr>
      </w:pPr>
      <w:r>
        <w:rPr>
          <w:b/>
          <w:color w:val="auto"/>
          <w:sz w:val="28"/>
          <w:szCs w:val="28"/>
        </w:rPr>
        <w:t>一、备课环节质量标准及评价分值</w:t>
      </w:r>
    </w:p>
    <w:tbl>
      <w:tblPr>
        <w:tblStyle w:val="14"/>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231"/>
        <w:gridCol w:w="4595"/>
        <w:gridCol w:w="1188"/>
        <w:gridCol w:w="641"/>
      </w:tblGrid>
      <w:tr w14:paraId="1FF1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251" w:type="dxa"/>
            <w:vAlign w:val="center"/>
          </w:tcPr>
          <w:p w14:paraId="4B1ECF66">
            <w:pPr>
              <w:spacing w:line="360" w:lineRule="exact"/>
              <w:jc w:val="center"/>
              <w:rPr>
                <w:b/>
                <w:color w:val="auto"/>
                <w:szCs w:val="21"/>
              </w:rPr>
            </w:pPr>
            <w:r>
              <w:rPr>
                <w:b/>
                <w:color w:val="auto"/>
                <w:szCs w:val="21"/>
              </w:rPr>
              <w:t>一级指标</w:t>
            </w:r>
          </w:p>
        </w:tc>
        <w:tc>
          <w:tcPr>
            <w:tcW w:w="1231" w:type="dxa"/>
            <w:vAlign w:val="center"/>
          </w:tcPr>
          <w:p w14:paraId="5D5A2705">
            <w:pPr>
              <w:spacing w:line="360" w:lineRule="exact"/>
              <w:jc w:val="center"/>
              <w:rPr>
                <w:b/>
                <w:color w:val="auto"/>
                <w:szCs w:val="21"/>
              </w:rPr>
            </w:pPr>
            <w:r>
              <w:rPr>
                <w:b/>
                <w:color w:val="auto"/>
                <w:szCs w:val="21"/>
              </w:rPr>
              <w:t>二级指标</w:t>
            </w:r>
          </w:p>
        </w:tc>
        <w:tc>
          <w:tcPr>
            <w:tcW w:w="4595" w:type="dxa"/>
            <w:vAlign w:val="center"/>
          </w:tcPr>
          <w:p w14:paraId="08FDC52A">
            <w:pPr>
              <w:spacing w:line="360" w:lineRule="exact"/>
              <w:jc w:val="center"/>
              <w:rPr>
                <w:b/>
                <w:color w:val="auto"/>
                <w:szCs w:val="21"/>
              </w:rPr>
            </w:pPr>
            <w:r>
              <w:rPr>
                <w:b/>
                <w:color w:val="auto"/>
                <w:szCs w:val="21"/>
              </w:rPr>
              <w:t>质 量 标  准</w:t>
            </w:r>
          </w:p>
        </w:tc>
        <w:tc>
          <w:tcPr>
            <w:tcW w:w="1188" w:type="dxa"/>
            <w:vAlign w:val="center"/>
          </w:tcPr>
          <w:p w14:paraId="2A3D1AF5">
            <w:pPr>
              <w:spacing w:line="360" w:lineRule="exact"/>
              <w:rPr>
                <w:b/>
                <w:color w:val="auto"/>
                <w:szCs w:val="21"/>
              </w:rPr>
            </w:pPr>
            <w:r>
              <w:rPr>
                <w:b/>
                <w:color w:val="auto"/>
                <w:szCs w:val="21"/>
              </w:rPr>
              <w:t>评价方法</w:t>
            </w:r>
          </w:p>
        </w:tc>
        <w:tc>
          <w:tcPr>
            <w:tcW w:w="641" w:type="dxa"/>
          </w:tcPr>
          <w:p w14:paraId="5106D3B8">
            <w:pPr>
              <w:spacing w:line="360" w:lineRule="exact"/>
              <w:jc w:val="center"/>
              <w:rPr>
                <w:b/>
                <w:color w:val="auto"/>
                <w:szCs w:val="21"/>
              </w:rPr>
            </w:pPr>
            <w:r>
              <w:rPr>
                <w:b/>
                <w:color w:val="auto"/>
                <w:szCs w:val="21"/>
              </w:rPr>
              <w:t>分值</w:t>
            </w:r>
          </w:p>
        </w:tc>
      </w:tr>
      <w:tr w14:paraId="6CD1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1" w:type="dxa"/>
            <w:vMerge w:val="restart"/>
            <w:vAlign w:val="center"/>
          </w:tcPr>
          <w:p w14:paraId="5E4ED955">
            <w:pPr>
              <w:spacing w:line="360" w:lineRule="exact"/>
              <w:jc w:val="center"/>
              <w:rPr>
                <w:color w:val="auto"/>
                <w:szCs w:val="21"/>
              </w:rPr>
            </w:pPr>
            <w:r>
              <w:rPr>
                <w:color w:val="auto"/>
                <w:szCs w:val="21"/>
              </w:rPr>
              <w:t>备内容</w:t>
            </w:r>
          </w:p>
          <w:p w14:paraId="2794C41E">
            <w:pPr>
              <w:spacing w:line="360" w:lineRule="exact"/>
              <w:jc w:val="center"/>
              <w:rPr>
                <w:color w:val="auto"/>
                <w:szCs w:val="21"/>
              </w:rPr>
            </w:pPr>
            <w:r>
              <w:rPr>
                <w:color w:val="auto"/>
                <w:szCs w:val="21"/>
              </w:rPr>
              <w:t>（40分）</w:t>
            </w:r>
          </w:p>
        </w:tc>
        <w:tc>
          <w:tcPr>
            <w:tcW w:w="1231" w:type="dxa"/>
            <w:vAlign w:val="center"/>
          </w:tcPr>
          <w:p w14:paraId="0B862463">
            <w:pPr>
              <w:spacing w:line="360" w:lineRule="exact"/>
              <w:jc w:val="center"/>
              <w:rPr>
                <w:color w:val="auto"/>
                <w:szCs w:val="21"/>
              </w:rPr>
            </w:pPr>
            <w:r>
              <w:rPr>
                <w:color w:val="auto"/>
                <w:szCs w:val="21"/>
              </w:rPr>
              <w:t>教学大纲（8分）</w:t>
            </w:r>
          </w:p>
        </w:tc>
        <w:tc>
          <w:tcPr>
            <w:tcW w:w="4595" w:type="dxa"/>
          </w:tcPr>
          <w:p w14:paraId="074EB1CF">
            <w:pPr>
              <w:spacing w:line="360" w:lineRule="exact"/>
              <w:ind w:left="315" w:hanging="315" w:hangingChars="150"/>
              <w:rPr>
                <w:color w:val="auto"/>
                <w:szCs w:val="21"/>
              </w:rPr>
            </w:pPr>
            <w:r>
              <w:rPr>
                <w:color w:val="auto"/>
                <w:szCs w:val="21"/>
              </w:rPr>
              <w:t>1.认真研读人才培养方案</w:t>
            </w:r>
            <w:r>
              <w:rPr>
                <w:rFonts w:hint="eastAsia"/>
                <w:color w:val="auto"/>
                <w:szCs w:val="21"/>
                <w:lang w:val="en-US" w:eastAsia="zh-CN"/>
              </w:rPr>
              <w:t>中该课程对于毕业要求的支撑情况</w:t>
            </w:r>
            <w:r>
              <w:rPr>
                <w:rFonts w:hint="eastAsia"/>
                <w:color w:val="auto"/>
                <w:szCs w:val="21"/>
                <w:lang w:eastAsia="zh-CN"/>
              </w:rPr>
              <w:t>、</w:t>
            </w:r>
            <w:r>
              <w:rPr>
                <w:color w:val="auto"/>
                <w:szCs w:val="21"/>
              </w:rPr>
              <w:t>课程教学大纲</w:t>
            </w:r>
            <w:r>
              <w:rPr>
                <w:rFonts w:hint="eastAsia"/>
                <w:color w:val="auto"/>
                <w:szCs w:val="21"/>
                <w:lang w:val="en-US" w:eastAsia="zh-CN"/>
              </w:rPr>
              <w:t>的课程目标</w:t>
            </w:r>
            <w:r>
              <w:rPr>
                <w:color w:val="auto"/>
                <w:szCs w:val="21"/>
              </w:rPr>
              <w:t>和教学基本要求，在教案中有文字表述</w:t>
            </w:r>
            <w:r>
              <w:rPr>
                <w:rFonts w:hint="eastAsia"/>
                <w:color w:val="auto"/>
                <w:szCs w:val="21"/>
                <w:lang w:eastAsia="zh-CN"/>
              </w:rPr>
              <w:t>，</w:t>
            </w:r>
            <w:r>
              <w:rPr>
                <w:rFonts w:hint="eastAsia"/>
                <w:color w:val="auto"/>
                <w:szCs w:val="21"/>
                <w:lang w:val="en-US" w:eastAsia="zh-CN"/>
              </w:rPr>
              <w:t>并体现出学生中心的理念</w:t>
            </w:r>
            <w:r>
              <w:rPr>
                <w:color w:val="auto"/>
                <w:szCs w:val="21"/>
              </w:rPr>
              <w:t>。</w:t>
            </w:r>
          </w:p>
          <w:p w14:paraId="7D93F119">
            <w:pPr>
              <w:spacing w:line="360" w:lineRule="exact"/>
              <w:ind w:left="315" w:hanging="315" w:hangingChars="150"/>
              <w:rPr>
                <w:color w:val="auto"/>
                <w:szCs w:val="21"/>
              </w:rPr>
            </w:pPr>
            <w:r>
              <w:rPr>
                <w:color w:val="auto"/>
                <w:szCs w:val="21"/>
              </w:rPr>
              <w:t>2.了解本课程与先行课和后续课程的关系及本课程在整个课程体系中的地位和作用，在教案中有文字表述。</w:t>
            </w:r>
          </w:p>
        </w:tc>
        <w:tc>
          <w:tcPr>
            <w:tcW w:w="1188" w:type="dxa"/>
            <w:vMerge w:val="restart"/>
            <w:vAlign w:val="center"/>
          </w:tcPr>
          <w:p w14:paraId="0D81700B">
            <w:pPr>
              <w:rPr>
                <w:color w:val="auto"/>
                <w:szCs w:val="21"/>
              </w:rPr>
            </w:pPr>
            <w:r>
              <w:rPr>
                <w:color w:val="auto"/>
                <w:szCs w:val="21"/>
              </w:rPr>
              <w:t>查阅教学大纲、教案（讲义）、教学日历</w:t>
            </w:r>
          </w:p>
        </w:tc>
        <w:tc>
          <w:tcPr>
            <w:tcW w:w="641" w:type="dxa"/>
          </w:tcPr>
          <w:p w14:paraId="6B4EC7DC">
            <w:pPr>
              <w:spacing w:line="360" w:lineRule="exact"/>
              <w:ind w:left="315" w:hanging="315" w:hangingChars="150"/>
              <w:rPr>
                <w:color w:val="auto"/>
                <w:szCs w:val="21"/>
              </w:rPr>
            </w:pPr>
          </w:p>
        </w:tc>
      </w:tr>
      <w:tr w14:paraId="12A2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1" w:type="dxa"/>
            <w:vMerge w:val="continue"/>
            <w:vAlign w:val="center"/>
          </w:tcPr>
          <w:p w14:paraId="752B4AFB">
            <w:pPr>
              <w:spacing w:line="360" w:lineRule="exact"/>
              <w:jc w:val="center"/>
              <w:rPr>
                <w:color w:val="auto"/>
                <w:szCs w:val="21"/>
              </w:rPr>
            </w:pPr>
          </w:p>
        </w:tc>
        <w:tc>
          <w:tcPr>
            <w:tcW w:w="1231" w:type="dxa"/>
            <w:vAlign w:val="center"/>
          </w:tcPr>
          <w:p w14:paraId="2DDDA67A">
            <w:pPr>
              <w:spacing w:line="360" w:lineRule="exact"/>
              <w:jc w:val="center"/>
              <w:rPr>
                <w:color w:val="auto"/>
                <w:szCs w:val="21"/>
              </w:rPr>
            </w:pPr>
            <w:r>
              <w:rPr>
                <w:color w:val="auto"/>
                <w:szCs w:val="21"/>
              </w:rPr>
              <w:t>教材教参（12分）</w:t>
            </w:r>
          </w:p>
        </w:tc>
        <w:tc>
          <w:tcPr>
            <w:tcW w:w="4595" w:type="dxa"/>
          </w:tcPr>
          <w:p w14:paraId="0459020D">
            <w:pPr>
              <w:spacing w:line="360" w:lineRule="exact"/>
              <w:ind w:left="315" w:hanging="315" w:hangingChars="150"/>
              <w:rPr>
                <w:color w:val="auto"/>
                <w:szCs w:val="21"/>
              </w:rPr>
            </w:pPr>
            <w:r>
              <w:rPr>
                <w:color w:val="auto"/>
                <w:szCs w:val="21"/>
                <w:shd w:val="clear" w:color="auto" w:fill="FFFFFF"/>
              </w:rPr>
              <w:t>3.</w:t>
            </w:r>
            <w:r>
              <w:rPr>
                <w:color w:val="auto"/>
                <w:szCs w:val="21"/>
              </w:rPr>
              <w:t>选择符合培养目标要求，反映最新研究成果，适合学生使用的优秀教材和教学参考资料（教学参考书、图书资料、网络资源等），在教案与课件中有体现。</w:t>
            </w:r>
          </w:p>
          <w:p w14:paraId="0CDA206C">
            <w:pPr>
              <w:spacing w:line="360" w:lineRule="exact"/>
              <w:ind w:left="315" w:hanging="315" w:hangingChars="150"/>
              <w:rPr>
                <w:rFonts w:hint="default" w:eastAsia="宋体"/>
                <w:color w:val="auto"/>
                <w:szCs w:val="21"/>
                <w:lang w:val="en-US" w:eastAsia="zh-CN"/>
              </w:rPr>
            </w:pPr>
            <w:r>
              <w:rPr>
                <w:color w:val="auto"/>
                <w:szCs w:val="21"/>
              </w:rPr>
              <w:t>4.认真钻研教材，熟练掌握教材的内容，包括教科书的编写意图、组织结构、重点章节、较难知识点等；在此基础上广泛阅读有关教学参考资料，精选材料来充实教学内容，在教案中有体现。</w:t>
            </w:r>
            <w:r>
              <w:rPr>
                <w:rFonts w:hint="eastAsia"/>
                <w:color w:val="auto"/>
                <w:szCs w:val="21"/>
                <w:lang w:val="en-US" w:eastAsia="zh-CN"/>
              </w:rPr>
              <w:t>教案内容应根据课程目标进行模块化设置。</w:t>
            </w:r>
          </w:p>
          <w:p w14:paraId="35FC33CF">
            <w:pPr>
              <w:spacing w:line="360" w:lineRule="exact"/>
              <w:ind w:left="315" w:hanging="315" w:hangingChars="150"/>
              <w:rPr>
                <w:color w:val="auto"/>
                <w:szCs w:val="21"/>
              </w:rPr>
            </w:pPr>
            <w:r>
              <w:rPr>
                <w:color w:val="auto"/>
                <w:szCs w:val="21"/>
              </w:rPr>
              <w:t>5.根据教学大纲对教材和教学参考资料内容进行创新处理，在教案中有表述。</w:t>
            </w:r>
          </w:p>
        </w:tc>
        <w:tc>
          <w:tcPr>
            <w:tcW w:w="1188" w:type="dxa"/>
            <w:vMerge w:val="continue"/>
            <w:vAlign w:val="center"/>
          </w:tcPr>
          <w:p w14:paraId="037A7948">
            <w:pPr>
              <w:spacing w:line="360" w:lineRule="exact"/>
              <w:ind w:left="315" w:hanging="315" w:hangingChars="150"/>
              <w:rPr>
                <w:color w:val="auto"/>
                <w:szCs w:val="21"/>
                <w:shd w:val="clear" w:color="auto" w:fill="FFFFFF"/>
              </w:rPr>
            </w:pPr>
          </w:p>
        </w:tc>
        <w:tc>
          <w:tcPr>
            <w:tcW w:w="641" w:type="dxa"/>
          </w:tcPr>
          <w:p w14:paraId="5A8705A1">
            <w:pPr>
              <w:spacing w:line="360" w:lineRule="exact"/>
              <w:ind w:left="315" w:hanging="315" w:hangingChars="150"/>
              <w:rPr>
                <w:color w:val="auto"/>
                <w:szCs w:val="21"/>
                <w:shd w:val="clear" w:color="auto" w:fill="FFFFFF"/>
              </w:rPr>
            </w:pPr>
          </w:p>
        </w:tc>
      </w:tr>
      <w:tr w14:paraId="2F50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1" w:type="dxa"/>
            <w:vMerge w:val="continue"/>
            <w:vAlign w:val="center"/>
          </w:tcPr>
          <w:p w14:paraId="218369FF">
            <w:pPr>
              <w:spacing w:line="360" w:lineRule="exact"/>
              <w:jc w:val="center"/>
              <w:rPr>
                <w:color w:val="auto"/>
                <w:szCs w:val="21"/>
              </w:rPr>
            </w:pPr>
          </w:p>
        </w:tc>
        <w:tc>
          <w:tcPr>
            <w:tcW w:w="1231" w:type="dxa"/>
            <w:vAlign w:val="center"/>
          </w:tcPr>
          <w:p w14:paraId="20AB812D">
            <w:pPr>
              <w:spacing w:line="360" w:lineRule="exact"/>
              <w:jc w:val="center"/>
              <w:rPr>
                <w:color w:val="auto"/>
                <w:szCs w:val="21"/>
              </w:rPr>
            </w:pPr>
            <w:r>
              <w:rPr>
                <w:color w:val="auto"/>
                <w:szCs w:val="21"/>
              </w:rPr>
              <w:t>撰写教案（20分）</w:t>
            </w:r>
          </w:p>
        </w:tc>
        <w:tc>
          <w:tcPr>
            <w:tcW w:w="4595" w:type="dxa"/>
          </w:tcPr>
          <w:p w14:paraId="3D3B4DAA">
            <w:pPr>
              <w:spacing w:line="360" w:lineRule="exact"/>
              <w:ind w:left="315" w:hanging="315" w:hangingChars="150"/>
              <w:rPr>
                <w:color w:val="auto"/>
                <w:szCs w:val="21"/>
                <w:shd w:val="clear" w:color="auto" w:fill="FFFFFF"/>
              </w:rPr>
            </w:pPr>
            <w:r>
              <w:rPr>
                <w:color w:val="auto"/>
                <w:szCs w:val="21"/>
                <w:shd w:val="clear" w:color="auto" w:fill="FFFFFF"/>
              </w:rPr>
              <w:t>6.教案格式规范，各要素齐全，教学内容完整。</w:t>
            </w:r>
          </w:p>
          <w:p w14:paraId="76408780">
            <w:pPr>
              <w:spacing w:line="360" w:lineRule="exact"/>
              <w:ind w:left="315" w:hanging="315" w:hangingChars="150"/>
              <w:rPr>
                <w:color w:val="auto"/>
                <w:szCs w:val="21"/>
                <w:shd w:val="clear" w:color="auto" w:fill="FFFFFF"/>
              </w:rPr>
            </w:pPr>
            <w:r>
              <w:rPr>
                <w:color w:val="auto"/>
                <w:szCs w:val="21"/>
                <w:shd w:val="clear" w:color="auto" w:fill="FFFFFF"/>
              </w:rPr>
              <w:t>7.教学内容重难点突出，吸收了最新教学改革与科研成果，反映了学科与课程的前沿学术动态，融入思政元素。</w:t>
            </w:r>
          </w:p>
          <w:p w14:paraId="40070AAB">
            <w:pPr>
              <w:spacing w:line="360" w:lineRule="exact"/>
              <w:ind w:left="315" w:hanging="315" w:hangingChars="150"/>
              <w:rPr>
                <w:color w:val="auto"/>
                <w:szCs w:val="21"/>
                <w:shd w:val="clear" w:color="auto" w:fill="FFFFFF"/>
              </w:rPr>
            </w:pPr>
            <w:r>
              <w:rPr>
                <w:color w:val="auto"/>
                <w:szCs w:val="21"/>
                <w:shd w:val="clear" w:color="auto" w:fill="FFFFFF"/>
              </w:rPr>
              <w:t>8.教案内容至少有两周课时的提前量。</w:t>
            </w:r>
          </w:p>
        </w:tc>
        <w:tc>
          <w:tcPr>
            <w:tcW w:w="1188" w:type="dxa"/>
            <w:vMerge w:val="continue"/>
            <w:vAlign w:val="center"/>
          </w:tcPr>
          <w:p w14:paraId="793697C7">
            <w:pPr>
              <w:spacing w:line="360" w:lineRule="exact"/>
              <w:ind w:left="315" w:hanging="315" w:hangingChars="150"/>
              <w:rPr>
                <w:color w:val="auto"/>
                <w:szCs w:val="21"/>
                <w:shd w:val="clear" w:color="auto" w:fill="FFFFFF"/>
              </w:rPr>
            </w:pPr>
          </w:p>
        </w:tc>
        <w:tc>
          <w:tcPr>
            <w:tcW w:w="641" w:type="dxa"/>
          </w:tcPr>
          <w:p w14:paraId="366FDB58">
            <w:pPr>
              <w:spacing w:line="360" w:lineRule="exact"/>
              <w:ind w:left="315" w:hanging="315" w:hangingChars="150"/>
              <w:rPr>
                <w:color w:val="auto"/>
                <w:szCs w:val="21"/>
                <w:shd w:val="clear" w:color="auto" w:fill="FFFFFF"/>
              </w:rPr>
            </w:pPr>
          </w:p>
        </w:tc>
      </w:tr>
      <w:tr w14:paraId="6359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1" w:type="dxa"/>
            <w:vMerge w:val="restart"/>
            <w:vAlign w:val="center"/>
          </w:tcPr>
          <w:p w14:paraId="6CE2ABEE">
            <w:pPr>
              <w:spacing w:line="360" w:lineRule="exact"/>
              <w:jc w:val="center"/>
              <w:rPr>
                <w:color w:val="auto"/>
                <w:szCs w:val="21"/>
              </w:rPr>
            </w:pPr>
            <w:r>
              <w:rPr>
                <w:color w:val="auto"/>
                <w:szCs w:val="21"/>
              </w:rPr>
              <w:t>备学生</w:t>
            </w:r>
          </w:p>
          <w:p w14:paraId="4E21993D">
            <w:pPr>
              <w:spacing w:line="360" w:lineRule="exact"/>
              <w:jc w:val="center"/>
              <w:rPr>
                <w:color w:val="auto"/>
                <w:szCs w:val="21"/>
              </w:rPr>
            </w:pPr>
            <w:r>
              <w:rPr>
                <w:color w:val="auto"/>
                <w:szCs w:val="21"/>
              </w:rPr>
              <w:t>（20分）</w:t>
            </w:r>
          </w:p>
        </w:tc>
        <w:tc>
          <w:tcPr>
            <w:tcW w:w="1231" w:type="dxa"/>
            <w:vAlign w:val="center"/>
          </w:tcPr>
          <w:p w14:paraId="637D82F6">
            <w:pPr>
              <w:spacing w:line="360" w:lineRule="exact"/>
              <w:jc w:val="center"/>
              <w:rPr>
                <w:color w:val="auto"/>
                <w:szCs w:val="21"/>
              </w:rPr>
            </w:pPr>
            <w:r>
              <w:rPr>
                <w:color w:val="auto"/>
                <w:szCs w:val="21"/>
              </w:rPr>
              <w:t>知识基础（5分）</w:t>
            </w:r>
          </w:p>
        </w:tc>
        <w:tc>
          <w:tcPr>
            <w:tcW w:w="4595" w:type="dxa"/>
          </w:tcPr>
          <w:p w14:paraId="0D1E7BFC">
            <w:pPr>
              <w:spacing w:line="360" w:lineRule="exact"/>
              <w:ind w:left="315" w:hanging="315" w:hangingChars="150"/>
              <w:rPr>
                <w:color w:val="auto"/>
                <w:szCs w:val="21"/>
              </w:rPr>
            </w:pPr>
            <w:r>
              <w:rPr>
                <w:color w:val="auto"/>
                <w:szCs w:val="21"/>
              </w:rPr>
              <w:t>9.了解学生的知识基础与知识结构，根据学生的知识水平现状与教学大纲深度融合，设计适合学生的教学方案，有了解的学生方</w:t>
            </w:r>
            <w:r>
              <w:rPr>
                <w:rFonts w:hint="eastAsia"/>
                <w:color w:val="auto"/>
                <w:szCs w:val="21"/>
              </w:rPr>
              <w:t>案</w:t>
            </w:r>
            <w:r>
              <w:rPr>
                <w:color w:val="auto"/>
                <w:szCs w:val="21"/>
              </w:rPr>
              <w:t>与方法。</w:t>
            </w:r>
          </w:p>
        </w:tc>
        <w:tc>
          <w:tcPr>
            <w:tcW w:w="1188" w:type="dxa"/>
            <w:vMerge w:val="restart"/>
            <w:vAlign w:val="center"/>
          </w:tcPr>
          <w:p w14:paraId="635F82B2">
            <w:pPr>
              <w:rPr>
                <w:color w:val="auto"/>
                <w:szCs w:val="21"/>
              </w:rPr>
            </w:pPr>
            <w:r>
              <w:rPr>
                <w:color w:val="auto"/>
                <w:szCs w:val="21"/>
              </w:rPr>
              <w:t>查阅教学大纲、教案（讲义）、教学日历</w:t>
            </w:r>
          </w:p>
        </w:tc>
        <w:tc>
          <w:tcPr>
            <w:tcW w:w="641" w:type="dxa"/>
          </w:tcPr>
          <w:p w14:paraId="2AA3B3AB">
            <w:pPr>
              <w:spacing w:line="360" w:lineRule="exact"/>
              <w:ind w:left="315" w:hanging="315" w:hangingChars="150"/>
              <w:rPr>
                <w:color w:val="auto"/>
                <w:szCs w:val="21"/>
              </w:rPr>
            </w:pPr>
          </w:p>
        </w:tc>
      </w:tr>
      <w:tr w14:paraId="091F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1" w:type="dxa"/>
            <w:vMerge w:val="continue"/>
            <w:vAlign w:val="center"/>
          </w:tcPr>
          <w:p w14:paraId="16D13CC8">
            <w:pPr>
              <w:spacing w:line="360" w:lineRule="exact"/>
              <w:jc w:val="center"/>
              <w:rPr>
                <w:color w:val="auto"/>
                <w:szCs w:val="21"/>
              </w:rPr>
            </w:pPr>
          </w:p>
        </w:tc>
        <w:tc>
          <w:tcPr>
            <w:tcW w:w="1231" w:type="dxa"/>
            <w:vAlign w:val="center"/>
          </w:tcPr>
          <w:p w14:paraId="7ADA0768">
            <w:pPr>
              <w:spacing w:line="360" w:lineRule="exact"/>
              <w:jc w:val="center"/>
              <w:rPr>
                <w:color w:val="auto"/>
                <w:szCs w:val="21"/>
              </w:rPr>
            </w:pPr>
            <w:r>
              <w:rPr>
                <w:color w:val="auto"/>
                <w:szCs w:val="21"/>
              </w:rPr>
              <w:t>学习能力（10分）</w:t>
            </w:r>
          </w:p>
        </w:tc>
        <w:tc>
          <w:tcPr>
            <w:tcW w:w="4595" w:type="dxa"/>
          </w:tcPr>
          <w:p w14:paraId="11D1D199">
            <w:pPr>
              <w:spacing w:line="360" w:lineRule="exact"/>
              <w:ind w:left="315" w:hanging="315" w:hangingChars="150"/>
              <w:rPr>
                <w:color w:val="auto"/>
                <w:szCs w:val="21"/>
              </w:rPr>
            </w:pPr>
            <w:r>
              <w:rPr>
                <w:color w:val="auto"/>
                <w:szCs w:val="21"/>
              </w:rPr>
              <w:t>10.了解学生的学习态度、思维方式与学习习惯，掌握学生的学习特点和个体差异，因材施教，培养学生学习能力。</w:t>
            </w:r>
          </w:p>
        </w:tc>
        <w:tc>
          <w:tcPr>
            <w:tcW w:w="1188" w:type="dxa"/>
            <w:vMerge w:val="continue"/>
            <w:vAlign w:val="center"/>
          </w:tcPr>
          <w:p w14:paraId="1BAF2C7B">
            <w:pPr>
              <w:spacing w:line="360" w:lineRule="exact"/>
              <w:ind w:left="315" w:hanging="315" w:hangingChars="150"/>
              <w:rPr>
                <w:color w:val="auto"/>
                <w:szCs w:val="21"/>
              </w:rPr>
            </w:pPr>
          </w:p>
        </w:tc>
        <w:tc>
          <w:tcPr>
            <w:tcW w:w="641" w:type="dxa"/>
          </w:tcPr>
          <w:p w14:paraId="3CD92D19">
            <w:pPr>
              <w:spacing w:line="360" w:lineRule="exact"/>
              <w:ind w:left="315" w:hanging="315" w:hangingChars="150"/>
              <w:rPr>
                <w:color w:val="auto"/>
                <w:szCs w:val="21"/>
              </w:rPr>
            </w:pPr>
          </w:p>
        </w:tc>
      </w:tr>
      <w:tr w14:paraId="34D76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1" w:type="dxa"/>
            <w:vMerge w:val="continue"/>
            <w:vAlign w:val="center"/>
          </w:tcPr>
          <w:p w14:paraId="0DCD245B">
            <w:pPr>
              <w:spacing w:line="360" w:lineRule="exact"/>
              <w:jc w:val="center"/>
              <w:rPr>
                <w:color w:val="auto"/>
                <w:szCs w:val="21"/>
              </w:rPr>
            </w:pPr>
          </w:p>
        </w:tc>
        <w:tc>
          <w:tcPr>
            <w:tcW w:w="1231" w:type="dxa"/>
            <w:vAlign w:val="center"/>
          </w:tcPr>
          <w:p w14:paraId="130805BD">
            <w:pPr>
              <w:spacing w:line="360" w:lineRule="exact"/>
              <w:jc w:val="center"/>
              <w:rPr>
                <w:color w:val="auto"/>
                <w:szCs w:val="21"/>
              </w:rPr>
            </w:pPr>
            <w:r>
              <w:rPr>
                <w:color w:val="auto"/>
                <w:szCs w:val="21"/>
              </w:rPr>
              <w:t>学习要求（5分）</w:t>
            </w:r>
          </w:p>
        </w:tc>
        <w:tc>
          <w:tcPr>
            <w:tcW w:w="4595" w:type="dxa"/>
          </w:tcPr>
          <w:p w14:paraId="7D37A0B2">
            <w:pPr>
              <w:spacing w:line="360" w:lineRule="exact"/>
              <w:ind w:left="315" w:hanging="315" w:hangingChars="150"/>
              <w:rPr>
                <w:color w:val="auto"/>
                <w:szCs w:val="21"/>
              </w:rPr>
            </w:pPr>
            <w:r>
              <w:rPr>
                <w:color w:val="auto"/>
                <w:szCs w:val="21"/>
              </w:rPr>
              <w:t>11.教学中收集学生在学习上的疑点、难点和对教学的意见，及时调整教学方案，</w:t>
            </w:r>
            <w:r>
              <w:rPr>
                <w:rFonts w:hint="eastAsia"/>
                <w:color w:val="auto"/>
                <w:szCs w:val="21"/>
              </w:rPr>
              <w:t>创新</w:t>
            </w:r>
            <w:r>
              <w:rPr>
                <w:color w:val="auto"/>
                <w:szCs w:val="21"/>
              </w:rPr>
              <w:t>教学方法，对学生学习提出契合实际的要求，并考核之。</w:t>
            </w:r>
          </w:p>
        </w:tc>
        <w:tc>
          <w:tcPr>
            <w:tcW w:w="1188" w:type="dxa"/>
            <w:vMerge w:val="continue"/>
            <w:vAlign w:val="center"/>
          </w:tcPr>
          <w:p w14:paraId="49A02FA1">
            <w:pPr>
              <w:spacing w:line="360" w:lineRule="exact"/>
              <w:ind w:left="315" w:hanging="315" w:hangingChars="150"/>
              <w:rPr>
                <w:color w:val="auto"/>
                <w:szCs w:val="21"/>
              </w:rPr>
            </w:pPr>
          </w:p>
        </w:tc>
        <w:tc>
          <w:tcPr>
            <w:tcW w:w="641" w:type="dxa"/>
          </w:tcPr>
          <w:p w14:paraId="1B7E50AA">
            <w:pPr>
              <w:spacing w:line="360" w:lineRule="exact"/>
              <w:ind w:left="315" w:hanging="315" w:hangingChars="150"/>
              <w:rPr>
                <w:color w:val="auto"/>
                <w:szCs w:val="21"/>
              </w:rPr>
            </w:pPr>
          </w:p>
        </w:tc>
      </w:tr>
      <w:tr w14:paraId="2CD1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1" w:type="dxa"/>
            <w:vMerge w:val="restart"/>
            <w:vAlign w:val="center"/>
          </w:tcPr>
          <w:p w14:paraId="73E4200D">
            <w:pPr>
              <w:spacing w:line="360" w:lineRule="exact"/>
              <w:jc w:val="center"/>
              <w:rPr>
                <w:color w:val="auto"/>
                <w:szCs w:val="21"/>
              </w:rPr>
            </w:pPr>
            <w:r>
              <w:rPr>
                <w:color w:val="auto"/>
                <w:szCs w:val="21"/>
              </w:rPr>
              <w:t>备方法</w:t>
            </w:r>
          </w:p>
          <w:p w14:paraId="333F85FF">
            <w:pPr>
              <w:spacing w:line="360" w:lineRule="exact"/>
              <w:jc w:val="center"/>
              <w:rPr>
                <w:color w:val="auto"/>
                <w:szCs w:val="21"/>
              </w:rPr>
            </w:pPr>
            <w:r>
              <w:rPr>
                <w:color w:val="auto"/>
                <w:szCs w:val="21"/>
              </w:rPr>
              <w:t>（20分）</w:t>
            </w:r>
          </w:p>
        </w:tc>
        <w:tc>
          <w:tcPr>
            <w:tcW w:w="1231" w:type="dxa"/>
            <w:vAlign w:val="center"/>
          </w:tcPr>
          <w:p w14:paraId="7337637A">
            <w:pPr>
              <w:spacing w:line="360" w:lineRule="exact"/>
              <w:jc w:val="center"/>
              <w:rPr>
                <w:color w:val="auto"/>
                <w:szCs w:val="21"/>
              </w:rPr>
            </w:pPr>
            <w:r>
              <w:rPr>
                <w:color w:val="auto"/>
                <w:szCs w:val="21"/>
              </w:rPr>
              <w:t>教学方法（10分）</w:t>
            </w:r>
          </w:p>
        </w:tc>
        <w:tc>
          <w:tcPr>
            <w:tcW w:w="4595" w:type="dxa"/>
          </w:tcPr>
          <w:p w14:paraId="6AA6A588">
            <w:pPr>
              <w:spacing w:line="360" w:lineRule="exact"/>
              <w:ind w:left="315" w:hanging="315" w:hangingChars="150"/>
              <w:rPr>
                <w:color w:val="auto"/>
                <w:szCs w:val="21"/>
              </w:rPr>
            </w:pPr>
            <w:r>
              <w:rPr>
                <w:color w:val="auto"/>
                <w:szCs w:val="21"/>
              </w:rPr>
              <w:t>12.根据教学目</w:t>
            </w:r>
            <w:r>
              <w:rPr>
                <w:rFonts w:hint="eastAsia"/>
                <w:color w:val="auto"/>
                <w:szCs w:val="21"/>
                <w:lang w:val="en-US" w:eastAsia="zh-CN"/>
              </w:rPr>
              <w:t>标</w:t>
            </w:r>
            <w:r>
              <w:rPr>
                <w:color w:val="auto"/>
                <w:szCs w:val="21"/>
              </w:rPr>
              <w:t>、教材内容和学生实际进行教法的设计、选定和加工。采用启发式、探究式、讨论式、参与式、案例等教学方法或多种方法综合运用。从学生学习积极性看其方法是否恰当。</w:t>
            </w:r>
          </w:p>
        </w:tc>
        <w:tc>
          <w:tcPr>
            <w:tcW w:w="1188" w:type="dxa"/>
            <w:vMerge w:val="restart"/>
            <w:vAlign w:val="center"/>
          </w:tcPr>
          <w:p w14:paraId="6863516D">
            <w:pPr>
              <w:rPr>
                <w:color w:val="auto"/>
                <w:szCs w:val="21"/>
              </w:rPr>
            </w:pPr>
            <w:r>
              <w:rPr>
                <w:color w:val="auto"/>
                <w:szCs w:val="21"/>
              </w:rPr>
              <w:t>查阅教学大纲、教案（讲义）、教学日历</w:t>
            </w:r>
          </w:p>
        </w:tc>
        <w:tc>
          <w:tcPr>
            <w:tcW w:w="641" w:type="dxa"/>
          </w:tcPr>
          <w:p w14:paraId="6293D110">
            <w:pPr>
              <w:spacing w:line="360" w:lineRule="exact"/>
              <w:ind w:left="315" w:hanging="315" w:hangingChars="150"/>
              <w:rPr>
                <w:color w:val="auto"/>
                <w:szCs w:val="21"/>
              </w:rPr>
            </w:pPr>
          </w:p>
        </w:tc>
      </w:tr>
      <w:tr w14:paraId="2C64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1" w:type="dxa"/>
            <w:vMerge w:val="continue"/>
            <w:vAlign w:val="center"/>
          </w:tcPr>
          <w:p w14:paraId="23C6700F">
            <w:pPr>
              <w:spacing w:line="360" w:lineRule="exact"/>
              <w:jc w:val="center"/>
              <w:rPr>
                <w:color w:val="auto"/>
                <w:szCs w:val="21"/>
              </w:rPr>
            </w:pPr>
          </w:p>
        </w:tc>
        <w:tc>
          <w:tcPr>
            <w:tcW w:w="1231" w:type="dxa"/>
            <w:vAlign w:val="center"/>
          </w:tcPr>
          <w:p w14:paraId="5EFEE906">
            <w:pPr>
              <w:spacing w:line="360" w:lineRule="exact"/>
              <w:jc w:val="center"/>
              <w:rPr>
                <w:color w:val="auto"/>
                <w:szCs w:val="21"/>
              </w:rPr>
            </w:pPr>
            <w:r>
              <w:rPr>
                <w:color w:val="auto"/>
                <w:szCs w:val="21"/>
              </w:rPr>
              <w:t>教学手段（10）分</w:t>
            </w:r>
          </w:p>
        </w:tc>
        <w:tc>
          <w:tcPr>
            <w:tcW w:w="4595" w:type="dxa"/>
          </w:tcPr>
          <w:p w14:paraId="08CACC8A">
            <w:pPr>
              <w:spacing w:line="360" w:lineRule="exact"/>
              <w:ind w:left="315" w:hanging="315" w:hangingChars="150"/>
              <w:rPr>
                <w:color w:val="auto"/>
                <w:szCs w:val="21"/>
              </w:rPr>
            </w:pPr>
            <w:r>
              <w:rPr>
                <w:color w:val="auto"/>
                <w:szCs w:val="21"/>
              </w:rPr>
              <w:t>13.根据学科专业特点和教学实际需要，合理采用现代信息技术手段。</w:t>
            </w:r>
          </w:p>
          <w:p w14:paraId="65721712">
            <w:pPr>
              <w:spacing w:line="360" w:lineRule="exact"/>
              <w:ind w:left="315" w:hanging="315" w:hangingChars="150"/>
              <w:rPr>
                <w:color w:val="auto"/>
                <w:szCs w:val="21"/>
              </w:rPr>
            </w:pPr>
            <w:r>
              <w:rPr>
                <w:color w:val="auto"/>
                <w:szCs w:val="21"/>
              </w:rPr>
              <w:t>14.精心设计并制作本课程的教学课件。</w:t>
            </w:r>
          </w:p>
        </w:tc>
        <w:tc>
          <w:tcPr>
            <w:tcW w:w="1188" w:type="dxa"/>
            <w:vMerge w:val="continue"/>
            <w:vAlign w:val="center"/>
          </w:tcPr>
          <w:p w14:paraId="7C5420B6">
            <w:pPr>
              <w:spacing w:line="360" w:lineRule="exact"/>
              <w:ind w:left="315" w:hanging="315" w:hangingChars="150"/>
              <w:rPr>
                <w:color w:val="auto"/>
                <w:szCs w:val="21"/>
              </w:rPr>
            </w:pPr>
          </w:p>
        </w:tc>
        <w:tc>
          <w:tcPr>
            <w:tcW w:w="641" w:type="dxa"/>
          </w:tcPr>
          <w:p w14:paraId="3AF0E133">
            <w:pPr>
              <w:spacing w:line="360" w:lineRule="exact"/>
              <w:ind w:left="315" w:hanging="315" w:hangingChars="150"/>
              <w:rPr>
                <w:color w:val="auto"/>
                <w:szCs w:val="21"/>
              </w:rPr>
            </w:pPr>
          </w:p>
        </w:tc>
      </w:tr>
      <w:tr w14:paraId="381E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1" w:type="dxa"/>
            <w:vAlign w:val="center"/>
          </w:tcPr>
          <w:p w14:paraId="5C262237">
            <w:pPr>
              <w:spacing w:line="360" w:lineRule="exact"/>
              <w:jc w:val="center"/>
              <w:rPr>
                <w:color w:val="auto"/>
                <w:szCs w:val="21"/>
              </w:rPr>
            </w:pPr>
            <w:r>
              <w:rPr>
                <w:color w:val="auto"/>
                <w:szCs w:val="21"/>
              </w:rPr>
              <w:t>备进度</w:t>
            </w:r>
          </w:p>
          <w:p w14:paraId="547DB5A1">
            <w:pPr>
              <w:spacing w:line="360" w:lineRule="exact"/>
              <w:jc w:val="center"/>
              <w:rPr>
                <w:color w:val="auto"/>
                <w:szCs w:val="21"/>
              </w:rPr>
            </w:pPr>
            <w:r>
              <w:rPr>
                <w:color w:val="auto"/>
                <w:szCs w:val="21"/>
              </w:rPr>
              <w:t>（20分）</w:t>
            </w:r>
          </w:p>
        </w:tc>
        <w:tc>
          <w:tcPr>
            <w:tcW w:w="1231" w:type="dxa"/>
            <w:vAlign w:val="center"/>
          </w:tcPr>
          <w:p w14:paraId="68AD9A75">
            <w:pPr>
              <w:spacing w:line="360" w:lineRule="exact"/>
              <w:jc w:val="center"/>
              <w:rPr>
                <w:color w:val="auto"/>
                <w:szCs w:val="21"/>
              </w:rPr>
            </w:pPr>
            <w:r>
              <w:rPr>
                <w:color w:val="auto"/>
                <w:szCs w:val="21"/>
              </w:rPr>
              <w:t>教学</w:t>
            </w:r>
            <w:r>
              <w:rPr>
                <w:rFonts w:hint="eastAsia"/>
                <w:color w:val="auto"/>
                <w:szCs w:val="21"/>
                <w:lang w:val="en-US" w:eastAsia="zh-CN"/>
              </w:rPr>
              <w:t>计划</w:t>
            </w:r>
            <w:r>
              <w:rPr>
                <w:color w:val="auto"/>
                <w:szCs w:val="21"/>
              </w:rPr>
              <w:t>（20分）</w:t>
            </w:r>
          </w:p>
        </w:tc>
        <w:tc>
          <w:tcPr>
            <w:tcW w:w="4595" w:type="dxa"/>
          </w:tcPr>
          <w:p w14:paraId="7820E7B7">
            <w:pPr>
              <w:spacing w:line="360" w:lineRule="exact"/>
              <w:ind w:left="315" w:hanging="315" w:hangingChars="150"/>
              <w:rPr>
                <w:color w:val="auto"/>
                <w:szCs w:val="21"/>
              </w:rPr>
            </w:pPr>
            <w:r>
              <w:rPr>
                <w:color w:val="auto"/>
                <w:szCs w:val="21"/>
              </w:rPr>
              <w:t>15.根据教学大纲中教学内容的要求，科学划分教学时数，合理安排教学进度，做到教学内容连贯、紧凑，时间分配科学、合理。</w:t>
            </w:r>
          </w:p>
          <w:p w14:paraId="0BF1EA6D">
            <w:pPr>
              <w:spacing w:line="360" w:lineRule="exact"/>
              <w:ind w:left="315" w:hanging="315" w:hangingChars="150"/>
              <w:rPr>
                <w:color w:val="auto"/>
                <w:szCs w:val="21"/>
              </w:rPr>
            </w:pPr>
            <w:r>
              <w:rPr>
                <w:color w:val="auto"/>
                <w:szCs w:val="21"/>
              </w:rPr>
              <w:t>16.认真填写《教学</w:t>
            </w:r>
            <w:r>
              <w:rPr>
                <w:rFonts w:hint="eastAsia"/>
                <w:color w:val="auto"/>
                <w:szCs w:val="21"/>
                <w:lang w:val="en-US" w:eastAsia="zh-CN"/>
              </w:rPr>
              <w:t>计划</w:t>
            </w:r>
            <w:r>
              <w:rPr>
                <w:color w:val="auto"/>
                <w:szCs w:val="21"/>
              </w:rPr>
              <w:t>》，表内各项目填写规范完整，说明清楚，在开课前完成编制，做到一班一表，经系</w:t>
            </w:r>
            <w:r>
              <w:rPr>
                <w:rFonts w:hint="eastAsia"/>
                <w:color w:val="auto"/>
                <w:szCs w:val="21"/>
                <w:lang w:eastAsia="zh-CN"/>
              </w:rPr>
              <w:t>（</w:t>
            </w:r>
            <w:r>
              <w:rPr>
                <w:rFonts w:hint="eastAsia"/>
                <w:color w:val="auto"/>
                <w:szCs w:val="21"/>
                <w:lang w:val="en-US" w:eastAsia="zh-CN"/>
              </w:rPr>
              <w:t>部</w:t>
            </w:r>
            <w:r>
              <w:rPr>
                <w:rFonts w:hint="eastAsia"/>
                <w:color w:val="auto"/>
                <w:szCs w:val="21"/>
                <w:lang w:eastAsia="zh-CN"/>
              </w:rPr>
              <w:t>）</w:t>
            </w:r>
            <w:r>
              <w:rPr>
                <w:color w:val="auto"/>
                <w:szCs w:val="21"/>
              </w:rPr>
              <w:t>主任审核后及时上报学院</w:t>
            </w:r>
            <w:r>
              <w:rPr>
                <w:rFonts w:hint="eastAsia"/>
                <w:color w:val="auto"/>
                <w:szCs w:val="21"/>
                <w:lang w:val="en-US" w:eastAsia="zh-CN"/>
              </w:rPr>
              <w:t>教科办</w:t>
            </w:r>
            <w:r>
              <w:rPr>
                <w:color w:val="auto"/>
                <w:szCs w:val="21"/>
              </w:rPr>
              <w:t>。</w:t>
            </w:r>
          </w:p>
        </w:tc>
        <w:tc>
          <w:tcPr>
            <w:tcW w:w="1188" w:type="dxa"/>
            <w:vAlign w:val="center"/>
          </w:tcPr>
          <w:p w14:paraId="3653844F">
            <w:pPr>
              <w:rPr>
                <w:color w:val="auto"/>
                <w:szCs w:val="21"/>
              </w:rPr>
            </w:pPr>
            <w:r>
              <w:rPr>
                <w:color w:val="auto"/>
                <w:szCs w:val="21"/>
              </w:rPr>
              <w:t>查阅教学日历</w:t>
            </w:r>
          </w:p>
        </w:tc>
        <w:tc>
          <w:tcPr>
            <w:tcW w:w="641" w:type="dxa"/>
          </w:tcPr>
          <w:p w14:paraId="77D391A0">
            <w:pPr>
              <w:spacing w:line="360" w:lineRule="exact"/>
              <w:ind w:left="315" w:hanging="315" w:hangingChars="150"/>
              <w:rPr>
                <w:color w:val="auto"/>
                <w:szCs w:val="21"/>
              </w:rPr>
            </w:pPr>
          </w:p>
        </w:tc>
      </w:tr>
    </w:tbl>
    <w:p w14:paraId="2D946789">
      <w:pPr>
        <w:spacing w:before="156" w:beforeLines="50" w:after="156" w:afterLines="50"/>
        <w:jc w:val="center"/>
        <w:rPr>
          <w:b/>
          <w:color w:val="auto"/>
          <w:sz w:val="28"/>
          <w:szCs w:val="28"/>
        </w:rPr>
      </w:pPr>
      <w:r>
        <w:rPr>
          <w:rFonts w:hint="eastAsia"/>
          <w:b/>
          <w:color w:val="auto"/>
          <w:sz w:val="28"/>
          <w:szCs w:val="28"/>
          <w:lang w:val="en-US" w:eastAsia="zh-CN"/>
        </w:rPr>
        <w:t>二</w:t>
      </w:r>
      <w:r>
        <w:rPr>
          <w:b/>
          <w:color w:val="auto"/>
          <w:sz w:val="28"/>
          <w:szCs w:val="28"/>
        </w:rPr>
        <w:t>、实训</w:t>
      </w:r>
      <w:r>
        <w:rPr>
          <w:rFonts w:hint="eastAsia"/>
          <w:b/>
          <w:color w:val="auto"/>
          <w:sz w:val="28"/>
          <w:szCs w:val="28"/>
          <w:lang w:eastAsia="zh-CN"/>
        </w:rPr>
        <w:t>（</w:t>
      </w:r>
      <w:r>
        <w:rPr>
          <w:rFonts w:hint="eastAsia"/>
          <w:b/>
          <w:color w:val="auto"/>
          <w:sz w:val="28"/>
          <w:szCs w:val="28"/>
          <w:lang w:val="en-US" w:eastAsia="zh-CN"/>
        </w:rPr>
        <w:t>实践</w:t>
      </w:r>
      <w:r>
        <w:rPr>
          <w:rFonts w:hint="eastAsia"/>
          <w:b/>
          <w:color w:val="auto"/>
          <w:sz w:val="28"/>
          <w:szCs w:val="28"/>
          <w:lang w:eastAsia="zh-CN"/>
        </w:rPr>
        <w:t>）</w:t>
      </w:r>
      <w:r>
        <w:rPr>
          <w:b/>
          <w:color w:val="auto"/>
          <w:sz w:val="28"/>
          <w:szCs w:val="28"/>
        </w:rPr>
        <w:t>教学质量标准及评价分值</w:t>
      </w:r>
    </w:p>
    <w:tbl>
      <w:tblPr>
        <w:tblStyle w:val="14"/>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290"/>
        <w:gridCol w:w="4444"/>
        <w:gridCol w:w="1252"/>
        <w:gridCol w:w="725"/>
      </w:tblGrid>
      <w:tr w14:paraId="648E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95" w:type="dxa"/>
            <w:vAlign w:val="center"/>
          </w:tcPr>
          <w:p w14:paraId="0C25598D">
            <w:pPr>
              <w:spacing w:line="360" w:lineRule="exact"/>
              <w:jc w:val="center"/>
              <w:rPr>
                <w:b/>
                <w:color w:val="auto"/>
                <w:szCs w:val="21"/>
              </w:rPr>
            </w:pPr>
            <w:r>
              <w:rPr>
                <w:b/>
                <w:color w:val="auto"/>
                <w:szCs w:val="21"/>
              </w:rPr>
              <w:t>一级指标</w:t>
            </w:r>
          </w:p>
        </w:tc>
        <w:tc>
          <w:tcPr>
            <w:tcW w:w="1290" w:type="dxa"/>
            <w:vAlign w:val="center"/>
          </w:tcPr>
          <w:p w14:paraId="79938D40">
            <w:pPr>
              <w:spacing w:line="360" w:lineRule="exact"/>
              <w:jc w:val="center"/>
              <w:rPr>
                <w:b/>
                <w:color w:val="auto"/>
                <w:szCs w:val="21"/>
              </w:rPr>
            </w:pPr>
            <w:r>
              <w:rPr>
                <w:b/>
                <w:color w:val="auto"/>
                <w:szCs w:val="21"/>
              </w:rPr>
              <w:t>二级指标</w:t>
            </w:r>
          </w:p>
        </w:tc>
        <w:tc>
          <w:tcPr>
            <w:tcW w:w="4444" w:type="dxa"/>
            <w:vAlign w:val="center"/>
          </w:tcPr>
          <w:p w14:paraId="68132B99">
            <w:pPr>
              <w:spacing w:line="360" w:lineRule="exact"/>
              <w:jc w:val="center"/>
              <w:rPr>
                <w:b/>
                <w:color w:val="auto"/>
                <w:szCs w:val="21"/>
              </w:rPr>
            </w:pPr>
            <w:r>
              <w:rPr>
                <w:b/>
                <w:color w:val="auto"/>
                <w:szCs w:val="21"/>
              </w:rPr>
              <w:t>质 量 标 准</w:t>
            </w:r>
          </w:p>
        </w:tc>
        <w:tc>
          <w:tcPr>
            <w:tcW w:w="1252" w:type="dxa"/>
            <w:vAlign w:val="center"/>
          </w:tcPr>
          <w:p w14:paraId="318011A6">
            <w:pPr>
              <w:spacing w:line="360" w:lineRule="exact"/>
              <w:jc w:val="center"/>
              <w:rPr>
                <w:b/>
                <w:color w:val="auto"/>
                <w:szCs w:val="21"/>
              </w:rPr>
            </w:pPr>
            <w:r>
              <w:rPr>
                <w:b/>
                <w:color w:val="auto"/>
                <w:szCs w:val="21"/>
              </w:rPr>
              <w:t>评价方法</w:t>
            </w:r>
          </w:p>
        </w:tc>
        <w:tc>
          <w:tcPr>
            <w:tcW w:w="725" w:type="dxa"/>
          </w:tcPr>
          <w:p w14:paraId="70196956">
            <w:pPr>
              <w:spacing w:line="360" w:lineRule="exact"/>
              <w:jc w:val="center"/>
              <w:rPr>
                <w:b/>
                <w:color w:val="auto"/>
                <w:szCs w:val="21"/>
              </w:rPr>
            </w:pPr>
            <w:r>
              <w:rPr>
                <w:b/>
                <w:color w:val="auto"/>
                <w:szCs w:val="21"/>
              </w:rPr>
              <w:t>分值</w:t>
            </w:r>
          </w:p>
        </w:tc>
      </w:tr>
      <w:tr w14:paraId="2481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5" w:type="dxa"/>
            <w:vMerge w:val="restart"/>
            <w:vAlign w:val="center"/>
          </w:tcPr>
          <w:p w14:paraId="7680693D">
            <w:pPr>
              <w:spacing w:line="360" w:lineRule="exact"/>
              <w:jc w:val="center"/>
              <w:rPr>
                <w:color w:val="auto"/>
                <w:szCs w:val="21"/>
              </w:rPr>
            </w:pPr>
            <w:r>
              <w:rPr>
                <w:color w:val="auto"/>
                <w:szCs w:val="21"/>
              </w:rPr>
              <w:t>实训准备（20分）</w:t>
            </w:r>
          </w:p>
        </w:tc>
        <w:tc>
          <w:tcPr>
            <w:tcW w:w="1290" w:type="dxa"/>
            <w:vAlign w:val="center"/>
          </w:tcPr>
          <w:p w14:paraId="7527018A">
            <w:pPr>
              <w:tabs>
                <w:tab w:val="left" w:pos="795"/>
              </w:tabs>
              <w:spacing w:line="360" w:lineRule="exact"/>
              <w:jc w:val="center"/>
              <w:rPr>
                <w:color w:val="auto"/>
                <w:szCs w:val="21"/>
              </w:rPr>
            </w:pPr>
            <w:r>
              <w:rPr>
                <w:color w:val="auto"/>
                <w:szCs w:val="21"/>
              </w:rPr>
              <w:t>实训计划（10分）</w:t>
            </w:r>
          </w:p>
        </w:tc>
        <w:tc>
          <w:tcPr>
            <w:tcW w:w="4444" w:type="dxa"/>
          </w:tcPr>
          <w:p w14:paraId="0BE9B0FF">
            <w:pPr>
              <w:spacing w:line="360" w:lineRule="exact"/>
              <w:ind w:left="315" w:hanging="315" w:hangingChars="150"/>
              <w:rPr>
                <w:color w:val="auto"/>
                <w:szCs w:val="21"/>
              </w:rPr>
            </w:pPr>
            <w:r>
              <w:rPr>
                <w:color w:val="auto"/>
                <w:szCs w:val="21"/>
              </w:rPr>
              <w:t>1.制订详实的实训计划，计划符合专业培养目标，实训教学大纲科学可行。</w:t>
            </w:r>
          </w:p>
        </w:tc>
        <w:tc>
          <w:tcPr>
            <w:tcW w:w="1252" w:type="dxa"/>
            <w:vMerge w:val="restart"/>
            <w:vAlign w:val="center"/>
          </w:tcPr>
          <w:p w14:paraId="4333A674">
            <w:pPr>
              <w:rPr>
                <w:color w:val="auto"/>
                <w:szCs w:val="21"/>
              </w:rPr>
            </w:pPr>
            <w:r>
              <w:rPr>
                <w:color w:val="auto"/>
                <w:szCs w:val="21"/>
              </w:rPr>
              <w:t>查阅教学大纲、实训计划以及审批相关文件</w:t>
            </w:r>
          </w:p>
        </w:tc>
        <w:tc>
          <w:tcPr>
            <w:tcW w:w="725" w:type="dxa"/>
          </w:tcPr>
          <w:p w14:paraId="63406815">
            <w:pPr>
              <w:spacing w:line="360" w:lineRule="exact"/>
              <w:ind w:left="315" w:hanging="315" w:hangingChars="150"/>
              <w:rPr>
                <w:color w:val="auto"/>
                <w:szCs w:val="21"/>
              </w:rPr>
            </w:pPr>
          </w:p>
        </w:tc>
      </w:tr>
      <w:tr w14:paraId="0AD9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5" w:type="dxa"/>
            <w:vMerge w:val="continue"/>
            <w:vAlign w:val="center"/>
          </w:tcPr>
          <w:p w14:paraId="497C5C4C">
            <w:pPr>
              <w:spacing w:line="360" w:lineRule="exact"/>
              <w:jc w:val="center"/>
              <w:rPr>
                <w:color w:val="auto"/>
                <w:szCs w:val="21"/>
              </w:rPr>
            </w:pPr>
          </w:p>
        </w:tc>
        <w:tc>
          <w:tcPr>
            <w:tcW w:w="1290" w:type="dxa"/>
            <w:vAlign w:val="center"/>
          </w:tcPr>
          <w:p w14:paraId="44A70F2D">
            <w:pPr>
              <w:spacing w:line="360" w:lineRule="exact"/>
              <w:jc w:val="center"/>
              <w:rPr>
                <w:color w:val="auto"/>
                <w:szCs w:val="21"/>
              </w:rPr>
            </w:pPr>
            <w:r>
              <w:rPr>
                <w:color w:val="auto"/>
                <w:szCs w:val="21"/>
              </w:rPr>
              <w:t>实训任务（5分）</w:t>
            </w:r>
          </w:p>
        </w:tc>
        <w:tc>
          <w:tcPr>
            <w:tcW w:w="4444" w:type="dxa"/>
          </w:tcPr>
          <w:p w14:paraId="03A4EEB0">
            <w:pPr>
              <w:spacing w:line="360" w:lineRule="exact"/>
              <w:ind w:left="315" w:hanging="315" w:hangingChars="150"/>
              <w:rPr>
                <w:color w:val="auto"/>
                <w:szCs w:val="21"/>
              </w:rPr>
            </w:pPr>
            <w:r>
              <w:rPr>
                <w:color w:val="auto"/>
                <w:szCs w:val="21"/>
              </w:rPr>
              <w:t>2.根据实训计划，明确学生的实训任务，</w:t>
            </w:r>
            <w:r>
              <w:rPr>
                <w:rFonts w:hint="eastAsia"/>
                <w:color w:val="auto"/>
                <w:szCs w:val="21"/>
              </w:rPr>
              <w:t>任务</w:t>
            </w:r>
            <w:r>
              <w:rPr>
                <w:color w:val="auto"/>
                <w:szCs w:val="21"/>
              </w:rPr>
              <w:t>符合学生进行职业技术应用能力训练的要求。</w:t>
            </w:r>
          </w:p>
        </w:tc>
        <w:tc>
          <w:tcPr>
            <w:tcW w:w="1252" w:type="dxa"/>
            <w:vMerge w:val="continue"/>
            <w:vAlign w:val="center"/>
          </w:tcPr>
          <w:p w14:paraId="59711B67">
            <w:pPr>
              <w:spacing w:line="360" w:lineRule="exact"/>
              <w:ind w:left="315" w:hanging="315" w:hangingChars="150"/>
              <w:rPr>
                <w:color w:val="auto"/>
                <w:szCs w:val="21"/>
              </w:rPr>
            </w:pPr>
          </w:p>
        </w:tc>
        <w:tc>
          <w:tcPr>
            <w:tcW w:w="725" w:type="dxa"/>
          </w:tcPr>
          <w:p w14:paraId="62E40130">
            <w:pPr>
              <w:spacing w:line="360" w:lineRule="exact"/>
              <w:ind w:left="315" w:hanging="315" w:hangingChars="150"/>
              <w:rPr>
                <w:color w:val="auto"/>
                <w:szCs w:val="21"/>
              </w:rPr>
            </w:pPr>
          </w:p>
        </w:tc>
      </w:tr>
      <w:tr w14:paraId="1890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5" w:type="dxa"/>
            <w:vMerge w:val="continue"/>
            <w:vAlign w:val="center"/>
          </w:tcPr>
          <w:p w14:paraId="50DDCCC6">
            <w:pPr>
              <w:spacing w:line="360" w:lineRule="exact"/>
              <w:jc w:val="center"/>
              <w:rPr>
                <w:color w:val="auto"/>
                <w:szCs w:val="21"/>
              </w:rPr>
            </w:pPr>
          </w:p>
        </w:tc>
        <w:tc>
          <w:tcPr>
            <w:tcW w:w="1290" w:type="dxa"/>
            <w:vAlign w:val="center"/>
          </w:tcPr>
          <w:p w14:paraId="76B67C59">
            <w:pPr>
              <w:spacing w:line="360" w:lineRule="exact"/>
              <w:jc w:val="center"/>
              <w:rPr>
                <w:color w:val="auto"/>
                <w:szCs w:val="21"/>
              </w:rPr>
            </w:pPr>
            <w:r>
              <w:rPr>
                <w:color w:val="auto"/>
                <w:szCs w:val="21"/>
              </w:rPr>
              <w:t>实训条件（5分）</w:t>
            </w:r>
          </w:p>
        </w:tc>
        <w:tc>
          <w:tcPr>
            <w:tcW w:w="4444" w:type="dxa"/>
          </w:tcPr>
          <w:p w14:paraId="42B2483D">
            <w:pPr>
              <w:spacing w:line="360" w:lineRule="exact"/>
              <w:ind w:left="315" w:hanging="315" w:hangingChars="150"/>
              <w:rPr>
                <w:color w:val="auto"/>
                <w:szCs w:val="21"/>
              </w:rPr>
            </w:pPr>
            <w:r>
              <w:rPr>
                <w:color w:val="auto"/>
                <w:szCs w:val="21"/>
              </w:rPr>
              <w:t>3.实训仪器、设备、材料准备充分，有安全教育与实训动员。</w:t>
            </w:r>
          </w:p>
        </w:tc>
        <w:tc>
          <w:tcPr>
            <w:tcW w:w="1252" w:type="dxa"/>
            <w:vMerge w:val="continue"/>
            <w:vAlign w:val="center"/>
          </w:tcPr>
          <w:p w14:paraId="32E0E071">
            <w:pPr>
              <w:spacing w:line="360" w:lineRule="exact"/>
              <w:ind w:left="315" w:hanging="315" w:hangingChars="150"/>
              <w:rPr>
                <w:color w:val="auto"/>
                <w:szCs w:val="21"/>
              </w:rPr>
            </w:pPr>
          </w:p>
        </w:tc>
        <w:tc>
          <w:tcPr>
            <w:tcW w:w="725" w:type="dxa"/>
          </w:tcPr>
          <w:p w14:paraId="2CCBE292">
            <w:pPr>
              <w:spacing w:line="360" w:lineRule="exact"/>
              <w:ind w:left="315" w:hanging="315" w:hangingChars="150"/>
              <w:rPr>
                <w:color w:val="auto"/>
                <w:szCs w:val="21"/>
              </w:rPr>
            </w:pPr>
          </w:p>
        </w:tc>
      </w:tr>
      <w:tr w14:paraId="0B68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5" w:type="dxa"/>
            <w:vMerge w:val="restart"/>
            <w:vAlign w:val="center"/>
          </w:tcPr>
          <w:p w14:paraId="4C68A00C">
            <w:pPr>
              <w:spacing w:line="360" w:lineRule="exact"/>
              <w:jc w:val="center"/>
              <w:rPr>
                <w:color w:val="auto"/>
                <w:szCs w:val="21"/>
              </w:rPr>
            </w:pPr>
            <w:r>
              <w:rPr>
                <w:color w:val="auto"/>
                <w:szCs w:val="21"/>
              </w:rPr>
              <w:t>实训过程（30分）</w:t>
            </w:r>
          </w:p>
        </w:tc>
        <w:tc>
          <w:tcPr>
            <w:tcW w:w="1290" w:type="dxa"/>
            <w:vAlign w:val="center"/>
          </w:tcPr>
          <w:p w14:paraId="5BC7F0A8">
            <w:pPr>
              <w:spacing w:line="360" w:lineRule="exact"/>
              <w:jc w:val="center"/>
              <w:rPr>
                <w:color w:val="auto"/>
                <w:szCs w:val="21"/>
              </w:rPr>
            </w:pPr>
            <w:r>
              <w:rPr>
                <w:color w:val="auto"/>
                <w:szCs w:val="21"/>
              </w:rPr>
              <w:t>计划执行（10分）</w:t>
            </w:r>
          </w:p>
        </w:tc>
        <w:tc>
          <w:tcPr>
            <w:tcW w:w="4444" w:type="dxa"/>
          </w:tcPr>
          <w:p w14:paraId="046A4120">
            <w:pPr>
              <w:spacing w:line="360" w:lineRule="exact"/>
              <w:ind w:left="315" w:hanging="315" w:hangingChars="150"/>
              <w:rPr>
                <w:color w:val="auto"/>
                <w:szCs w:val="21"/>
              </w:rPr>
            </w:pPr>
            <w:r>
              <w:rPr>
                <w:color w:val="auto"/>
                <w:szCs w:val="21"/>
              </w:rPr>
              <w:t>4.实训教学计划落实到位，实训学时饱满。</w:t>
            </w:r>
          </w:p>
        </w:tc>
        <w:tc>
          <w:tcPr>
            <w:tcW w:w="1252" w:type="dxa"/>
            <w:vMerge w:val="restart"/>
            <w:vAlign w:val="center"/>
          </w:tcPr>
          <w:p w14:paraId="6E0EAC0C">
            <w:pPr>
              <w:rPr>
                <w:color w:val="auto"/>
                <w:szCs w:val="21"/>
              </w:rPr>
            </w:pPr>
            <w:r>
              <w:rPr>
                <w:color w:val="auto"/>
                <w:szCs w:val="21"/>
              </w:rPr>
              <w:t>查阅实训教学计划、实训日志、听课、学生评教</w:t>
            </w:r>
          </w:p>
        </w:tc>
        <w:tc>
          <w:tcPr>
            <w:tcW w:w="725" w:type="dxa"/>
          </w:tcPr>
          <w:p w14:paraId="7BC72389">
            <w:pPr>
              <w:spacing w:line="360" w:lineRule="exact"/>
              <w:ind w:left="315" w:hanging="315" w:hangingChars="150"/>
              <w:rPr>
                <w:color w:val="auto"/>
                <w:szCs w:val="21"/>
              </w:rPr>
            </w:pPr>
          </w:p>
        </w:tc>
      </w:tr>
      <w:tr w14:paraId="4B52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5" w:type="dxa"/>
            <w:vMerge w:val="continue"/>
            <w:vAlign w:val="center"/>
          </w:tcPr>
          <w:p w14:paraId="38CB037A">
            <w:pPr>
              <w:spacing w:line="360" w:lineRule="exact"/>
              <w:jc w:val="center"/>
              <w:rPr>
                <w:color w:val="auto"/>
                <w:szCs w:val="21"/>
              </w:rPr>
            </w:pPr>
          </w:p>
        </w:tc>
        <w:tc>
          <w:tcPr>
            <w:tcW w:w="1290" w:type="dxa"/>
            <w:vAlign w:val="center"/>
          </w:tcPr>
          <w:p w14:paraId="0F594B4E">
            <w:pPr>
              <w:spacing w:line="360" w:lineRule="exact"/>
              <w:jc w:val="center"/>
              <w:rPr>
                <w:color w:val="auto"/>
                <w:szCs w:val="21"/>
              </w:rPr>
            </w:pPr>
            <w:r>
              <w:rPr>
                <w:color w:val="auto"/>
                <w:szCs w:val="21"/>
              </w:rPr>
              <w:t>实训指导（10分）</w:t>
            </w:r>
          </w:p>
        </w:tc>
        <w:tc>
          <w:tcPr>
            <w:tcW w:w="4444" w:type="dxa"/>
          </w:tcPr>
          <w:p w14:paraId="483EB156">
            <w:pPr>
              <w:spacing w:line="360" w:lineRule="exact"/>
              <w:ind w:left="315" w:hanging="315" w:hangingChars="150"/>
              <w:rPr>
                <w:color w:val="auto"/>
                <w:szCs w:val="21"/>
              </w:rPr>
            </w:pPr>
            <w:r>
              <w:rPr>
                <w:color w:val="auto"/>
                <w:szCs w:val="21"/>
              </w:rPr>
              <w:t>5.实训步骤紧凑，各阶段时间分配合理，注重对学生的能力培养和职业技能训练，学生有充</w:t>
            </w:r>
            <w:r>
              <w:rPr>
                <w:rFonts w:hint="eastAsia"/>
                <w:color w:val="auto"/>
                <w:szCs w:val="21"/>
              </w:rPr>
              <w:t>足</w:t>
            </w:r>
            <w:r>
              <w:rPr>
                <w:color w:val="auto"/>
                <w:szCs w:val="21"/>
              </w:rPr>
              <w:t>的动手机会。</w:t>
            </w:r>
          </w:p>
        </w:tc>
        <w:tc>
          <w:tcPr>
            <w:tcW w:w="1252" w:type="dxa"/>
            <w:vMerge w:val="continue"/>
            <w:vAlign w:val="center"/>
          </w:tcPr>
          <w:p w14:paraId="1B898CE0">
            <w:pPr>
              <w:spacing w:line="360" w:lineRule="exact"/>
              <w:ind w:left="315" w:hanging="315" w:hangingChars="150"/>
              <w:rPr>
                <w:color w:val="auto"/>
                <w:szCs w:val="21"/>
              </w:rPr>
            </w:pPr>
          </w:p>
        </w:tc>
        <w:tc>
          <w:tcPr>
            <w:tcW w:w="725" w:type="dxa"/>
          </w:tcPr>
          <w:p w14:paraId="2656345A">
            <w:pPr>
              <w:spacing w:line="360" w:lineRule="exact"/>
              <w:ind w:left="315" w:hanging="315" w:hangingChars="150"/>
              <w:rPr>
                <w:color w:val="auto"/>
                <w:szCs w:val="21"/>
              </w:rPr>
            </w:pPr>
          </w:p>
        </w:tc>
      </w:tr>
      <w:tr w14:paraId="1A59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5" w:type="dxa"/>
            <w:vMerge w:val="continue"/>
            <w:vAlign w:val="center"/>
          </w:tcPr>
          <w:p w14:paraId="7730172B">
            <w:pPr>
              <w:spacing w:line="360" w:lineRule="exact"/>
              <w:jc w:val="center"/>
              <w:rPr>
                <w:color w:val="auto"/>
                <w:szCs w:val="21"/>
              </w:rPr>
            </w:pPr>
          </w:p>
        </w:tc>
        <w:tc>
          <w:tcPr>
            <w:tcW w:w="1290" w:type="dxa"/>
            <w:vAlign w:val="center"/>
          </w:tcPr>
          <w:p w14:paraId="66B3DC2B">
            <w:pPr>
              <w:spacing w:line="360" w:lineRule="exact"/>
              <w:jc w:val="center"/>
              <w:rPr>
                <w:color w:val="auto"/>
                <w:szCs w:val="21"/>
              </w:rPr>
            </w:pPr>
            <w:r>
              <w:rPr>
                <w:color w:val="auto"/>
                <w:szCs w:val="21"/>
              </w:rPr>
              <w:t>实训纪律（10分）</w:t>
            </w:r>
          </w:p>
        </w:tc>
        <w:tc>
          <w:tcPr>
            <w:tcW w:w="4444" w:type="dxa"/>
          </w:tcPr>
          <w:p w14:paraId="2B1C368E">
            <w:pPr>
              <w:spacing w:line="360" w:lineRule="exact"/>
              <w:ind w:left="315" w:hanging="315" w:hangingChars="150"/>
              <w:rPr>
                <w:color w:val="auto"/>
                <w:szCs w:val="21"/>
              </w:rPr>
            </w:pPr>
            <w:r>
              <w:rPr>
                <w:color w:val="auto"/>
                <w:szCs w:val="21"/>
              </w:rPr>
              <w:t>6.实训纪律好，学生都能认真操作，认真记录实训日志，</w:t>
            </w:r>
            <w:r>
              <w:rPr>
                <w:rFonts w:hint="eastAsia"/>
                <w:color w:val="auto"/>
                <w:szCs w:val="21"/>
              </w:rPr>
              <w:t>并</w:t>
            </w:r>
            <w:r>
              <w:rPr>
                <w:color w:val="auto"/>
                <w:szCs w:val="21"/>
              </w:rPr>
              <w:t>注意安全。</w:t>
            </w:r>
          </w:p>
        </w:tc>
        <w:tc>
          <w:tcPr>
            <w:tcW w:w="1252" w:type="dxa"/>
            <w:vMerge w:val="continue"/>
            <w:vAlign w:val="center"/>
          </w:tcPr>
          <w:p w14:paraId="4B443734">
            <w:pPr>
              <w:spacing w:line="360" w:lineRule="exact"/>
              <w:ind w:left="315" w:hanging="315" w:hangingChars="150"/>
              <w:rPr>
                <w:color w:val="auto"/>
                <w:szCs w:val="21"/>
              </w:rPr>
            </w:pPr>
          </w:p>
        </w:tc>
        <w:tc>
          <w:tcPr>
            <w:tcW w:w="725" w:type="dxa"/>
          </w:tcPr>
          <w:p w14:paraId="42E7E23D">
            <w:pPr>
              <w:spacing w:line="360" w:lineRule="exact"/>
              <w:ind w:left="315" w:hanging="315" w:hangingChars="150"/>
              <w:rPr>
                <w:color w:val="auto"/>
                <w:szCs w:val="21"/>
              </w:rPr>
            </w:pPr>
          </w:p>
        </w:tc>
      </w:tr>
      <w:tr w14:paraId="7A03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5" w:type="dxa"/>
            <w:vMerge w:val="restart"/>
            <w:vAlign w:val="center"/>
          </w:tcPr>
          <w:p w14:paraId="271B3A8B">
            <w:pPr>
              <w:spacing w:line="360" w:lineRule="exact"/>
              <w:jc w:val="center"/>
              <w:rPr>
                <w:color w:val="auto"/>
                <w:szCs w:val="21"/>
              </w:rPr>
            </w:pPr>
            <w:r>
              <w:rPr>
                <w:color w:val="auto"/>
                <w:szCs w:val="21"/>
              </w:rPr>
              <w:t>实训考核（30分）</w:t>
            </w:r>
          </w:p>
        </w:tc>
        <w:tc>
          <w:tcPr>
            <w:tcW w:w="1290" w:type="dxa"/>
            <w:vAlign w:val="center"/>
          </w:tcPr>
          <w:p w14:paraId="342C1217">
            <w:pPr>
              <w:spacing w:line="360" w:lineRule="exact"/>
              <w:jc w:val="center"/>
              <w:rPr>
                <w:color w:val="auto"/>
                <w:szCs w:val="21"/>
              </w:rPr>
            </w:pPr>
            <w:r>
              <w:rPr>
                <w:color w:val="auto"/>
                <w:szCs w:val="21"/>
              </w:rPr>
              <w:t>考核内容（7分）</w:t>
            </w:r>
          </w:p>
        </w:tc>
        <w:tc>
          <w:tcPr>
            <w:tcW w:w="4444" w:type="dxa"/>
          </w:tcPr>
          <w:p w14:paraId="3D16655A">
            <w:pPr>
              <w:spacing w:line="360" w:lineRule="exact"/>
              <w:ind w:left="315" w:hanging="315" w:hangingChars="150"/>
              <w:rPr>
                <w:color w:val="auto"/>
                <w:szCs w:val="21"/>
              </w:rPr>
            </w:pPr>
            <w:r>
              <w:rPr>
                <w:color w:val="auto"/>
                <w:szCs w:val="21"/>
              </w:rPr>
              <w:t>7.包含实训大纲所涉及的知识点及实训操作（调试）内容。</w:t>
            </w:r>
          </w:p>
          <w:p w14:paraId="3BBD65C4">
            <w:pPr>
              <w:spacing w:line="360" w:lineRule="exact"/>
              <w:ind w:left="315" w:hanging="315" w:hangingChars="150"/>
              <w:rPr>
                <w:color w:val="auto"/>
                <w:szCs w:val="21"/>
              </w:rPr>
            </w:pPr>
            <w:r>
              <w:rPr>
                <w:color w:val="auto"/>
                <w:szCs w:val="21"/>
              </w:rPr>
              <w:t>8.符合教学目标、贴近职业岗位能力要求，内容充实。</w:t>
            </w:r>
          </w:p>
        </w:tc>
        <w:tc>
          <w:tcPr>
            <w:tcW w:w="1252" w:type="dxa"/>
            <w:vMerge w:val="restart"/>
            <w:vAlign w:val="center"/>
          </w:tcPr>
          <w:p w14:paraId="594EAE13">
            <w:pPr>
              <w:rPr>
                <w:color w:val="auto"/>
                <w:szCs w:val="21"/>
              </w:rPr>
            </w:pPr>
            <w:r>
              <w:rPr>
                <w:color w:val="auto"/>
                <w:szCs w:val="21"/>
              </w:rPr>
              <w:t>查阅实训大纲、实训报告、成绩表</w:t>
            </w:r>
          </w:p>
        </w:tc>
        <w:tc>
          <w:tcPr>
            <w:tcW w:w="725" w:type="dxa"/>
          </w:tcPr>
          <w:p w14:paraId="2F81E643">
            <w:pPr>
              <w:spacing w:line="360" w:lineRule="exact"/>
              <w:ind w:left="315" w:hanging="315" w:hangingChars="150"/>
              <w:rPr>
                <w:color w:val="auto"/>
                <w:szCs w:val="21"/>
              </w:rPr>
            </w:pPr>
          </w:p>
        </w:tc>
      </w:tr>
      <w:tr w14:paraId="29B5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5" w:type="dxa"/>
            <w:vMerge w:val="continue"/>
            <w:vAlign w:val="center"/>
          </w:tcPr>
          <w:p w14:paraId="6FA1539E">
            <w:pPr>
              <w:spacing w:line="360" w:lineRule="exact"/>
              <w:jc w:val="center"/>
              <w:rPr>
                <w:color w:val="auto"/>
                <w:szCs w:val="21"/>
              </w:rPr>
            </w:pPr>
          </w:p>
        </w:tc>
        <w:tc>
          <w:tcPr>
            <w:tcW w:w="1290" w:type="dxa"/>
            <w:vAlign w:val="center"/>
          </w:tcPr>
          <w:p w14:paraId="5EA394BE">
            <w:pPr>
              <w:spacing w:line="360" w:lineRule="exact"/>
              <w:jc w:val="center"/>
              <w:rPr>
                <w:color w:val="auto"/>
                <w:szCs w:val="21"/>
              </w:rPr>
            </w:pPr>
            <w:r>
              <w:rPr>
                <w:color w:val="auto"/>
                <w:szCs w:val="21"/>
              </w:rPr>
              <w:t>考核方式（7分）</w:t>
            </w:r>
          </w:p>
        </w:tc>
        <w:tc>
          <w:tcPr>
            <w:tcW w:w="4444" w:type="dxa"/>
            <w:vAlign w:val="center"/>
          </w:tcPr>
          <w:p w14:paraId="3160A5AE">
            <w:pPr>
              <w:spacing w:line="360" w:lineRule="exact"/>
              <w:ind w:left="315" w:hanging="315" w:hangingChars="150"/>
              <w:rPr>
                <w:color w:val="auto"/>
                <w:szCs w:val="21"/>
              </w:rPr>
            </w:pPr>
            <w:r>
              <w:rPr>
                <w:color w:val="auto"/>
                <w:szCs w:val="21"/>
              </w:rPr>
              <w:t>9.包含实际操作、笔试、口试、实训报告、工程案例答辩、参加职业资格鉴定等。</w:t>
            </w:r>
          </w:p>
        </w:tc>
        <w:tc>
          <w:tcPr>
            <w:tcW w:w="1252" w:type="dxa"/>
            <w:vMerge w:val="continue"/>
            <w:vAlign w:val="center"/>
          </w:tcPr>
          <w:p w14:paraId="4E637F1E">
            <w:pPr>
              <w:spacing w:line="360" w:lineRule="exact"/>
              <w:ind w:left="315" w:hanging="315" w:hangingChars="150"/>
              <w:rPr>
                <w:color w:val="auto"/>
                <w:szCs w:val="21"/>
              </w:rPr>
            </w:pPr>
          </w:p>
        </w:tc>
        <w:tc>
          <w:tcPr>
            <w:tcW w:w="725" w:type="dxa"/>
          </w:tcPr>
          <w:p w14:paraId="4E7CB7D6">
            <w:pPr>
              <w:spacing w:line="360" w:lineRule="exact"/>
              <w:ind w:left="315" w:hanging="315" w:hangingChars="150"/>
              <w:rPr>
                <w:color w:val="auto"/>
                <w:szCs w:val="21"/>
              </w:rPr>
            </w:pPr>
          </w:p>
        </w:tc>
      </w:tr>
      <w:tr w14:paraId="24E8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5" w:type="dxa"/>
            <w:vMerge w:val="continue"/>
            <w:vAlign w:val="center"/>
          </w:tcPr>
          <w:p w14:paraId="404358BF">
            <w:pPr>
              <w:spacing w:line="360" w:lineRule="exact"/>
              <w:jc w:val="center"/>
              <w:rPr>
                <w:color w:val="auto"/>
                <w:szCs w:val="21"/>
              </w:rPr>
            </w:pPr>
          </w:p>
        </w:tc>
        <w:tc>
          <w:tcPr>
            <w:tcW w:w="1290" w:type="dxa"/>
            <w:vAlign w:val="center"/>
          </w:tcPr>
          <w:p w14:paraId="61828900">
            <w:pPr>
              <w:spacing w:line="360" w:lineRule="exact"/>
              <w:jc w:val="center"/>
              <w:rPr>
                <w:color w:val="auto"/>
                <w:szCs w:val="21"/>
              </w:rPr>
            </w:pPr>
            <w:r>
              <w:rPr>
                <w:color w:val="auto"/>
                <w:szCs w:val="21"/>
              </w:rPr>
              <w:t>实训报告（8分）</w:t>
            </w:r>
          </w:p>
        </w:tc>
        <w:tc>
          <w:tcPr>
            <w:tcW w:w="4444" w:type="dxa"/>
            <w:vAlign w:val="center"/>
          </w:tcPr>
          <w:p w14:paraId="7D1915FC">
            <w:pPr>
              <w:spacing w:line="360" w:lineRule="exact"/>
              <w:ind w:left="315" w:hanging="315" w:hangingChars="150"/>
              <w:rPr>
                <w:color w:val="auto"/>
                <w:szCs w:val="21"/>
              </w:rPr>
            </w:pPr>
            <w:r>
              <w:rPr>
                <w:color w:val="auto"/>
                <w:szCs w:val="21"/>
              </w:rPr>
              <w:t>10.学生完成一份实训报告，要求数据完整正确、图样清晰、系统性强、书写工整规范。</w:t>
            </w:r>
          </w:p>
        </w:tc>
        <w:tc>
          <w:tcPr>
            <w:tcW w:w="1252" w:type="dxa"/>
            <w:vMerge w:val="continue"/>
            <w:vAlign w:val="center"/>
          </w:tcPr>
          <w:p w14:paraId="40CD1A60">
            <w:pPr>
              <w:spacing w:line="360" w:lineRule="exact"/>
              <w:ind w:left="315" w:hanging="315" w:hangingChars="150"/>
              <w:rPr>
                <w:color w:val="auto"/>
                <w:szCs w:val="21"/>
              </w:rPr>
            </w:pPr>
          </w:p>
        </w:tc>
        <w:tc>
          <w:tcPr>
            <w:tcW w:w="725" w:type="dxa"/>
          </w:tcPr>
          <w:p w14:paraId="4DB3E30D">
            <w:pPr>
              <w:spacing w:line="360" w:lineRule="exact"/>
              <w:ind w:left="315" w:hanging="315" w:hangingChars="150"/>
              <w:rPr>
                <w:color w:val="auto"/>
                <w:szCs w:val="21"/>
              </w:rPr>
            </w:pPr>
          </w:p>
        </w:tc>
      </w:tr>
      <w:tr w14:paraId="5F57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5" w:type="dxa"/>
            <w:vMerge w:val="continue"/>
            <w:vAlign w:val="center"/>
          </w:tcPr>
          <w:p w14:paraId="66A07F08">
            <w:pPr>
              <w:spacing w:line="360" w:lineRule="exact"/>
              <w:jc w:val="center"/>
              <w:rPr>
                <w:color w:val="auto"/>
                <w:szCs w:val="21"/>
              </w:rPr>
            </w:pPr>
          </w:p>
        </w:tc>
        <w:tc>
          <w:tcPr>
            <w:tcW w:w="1290" w:type="dxa"/>
            <w:vAlign w:val="center"/>
          </w:tcPr>
          <w:p w14:paraId="4E4857AC">
            <w:pPr>
              <w:spacing w:line="360" w:lineRule="exact"/>
              <w:jc w:val="center"/>
              <w:rPr>
                <w:color w:val="auto"/>
                <w:szCs w:val="21"/>
              </w:rPr>
            </w:pPr>
            <w:r>
              <w:rPr>
                <w:color w:val="auto"/>
                <w:szCs w:val="21"/>
              </w:rPr>
              <w:t>成绩评定（8分）</w:t>
            </w:r>
          </w:p>
        </w:tc>
        <w:tc>
          <w:tcPr>
            <w:tcW w:w="4444" w:type="dxa"/>
            <w:vAlign w:val="center"/>
          </w:tcPr>
          <w:p w14:paraId="22B33F96">
            <w:pPr>
              <w:spacing w:line="360" w:lineRule="exact"/>
              <w:ind w:left="315" w:hanging="315" w:hangingChars="150"/>
              <w:rPr>
                <w:color w:val="auto"/>
                <w:szCs w:val="21"/>
              </w:rPr>
            </w:pPr>
            <w:r>
              <w:rPr>
                <w:color w:val="auto"/>
                <w:szCs w:val="21"/>
              </w:rPr>
              <w:t>11.</w:t>
            </w:r>
            <w:r>
              <w:rPr>
                <w:color w:val="auto"/>
                <w:spacing w:val="-4"/>
                <w:szCs w:val="21"/>
              </w:rPr>
              <w:t>根据鉴定成绩、平时考核成绩、实训情况表现等综合评定。</w:t>
            </w:r>
          </w:p>
        </w:tc>
        <w:tc>
          <w:tcPr>
            <w:tcW w:w="1252" w:type="dxa"/>
            <w:vMerge w:val="continue"/>
            <w:vAlign w:val="center"/>
          </w:tcPr>
          <w:p w14:paraId="02591614">
            <w:pPr>
              <w:spacing w:line="360" w:lineRule="exact"/>
              <w:ind w:left="315" w:hanging="315" w:hangingChars="150"/>
              <w:rPr>
                <w:color w:val="auto"/>
                <w:szCs w:val="21"/>
              </w:rPr>
            </w:pPr>
          </w:p>
        </w:tc>
        <w:tc>
          <w:tcPr>
            <w:tcW w:w="725" w:type="dxa"/>
          </w:tcPr>
          <w:p w14:paraId="7BB80FD1">
            <w:pPr>
              <w:spacing w:line="360" w:lineRule="exact"/>
              <w:ind w:left="315" w:hanging="315" w:hangingChars="150"/>
              <w:rPr>
                <w:color w:val="auto"/>
                <w:szCs w:val="21"/>
              </w:rPr>
            </w:pPr>
          </w:p>
        </w:tc>
      </w:tr>
      <w:tr w14:paraId="1869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5" w:type="dxa"/>
            <w:vAlign w:val="center"/>
          </w:tcPr>
          <w:p w14:paraId="41D24ED2">
            <w:pPr>
              <w:spacing w:line="360" w:lineRule="exact"/>
              <w:jc w:val="center"/>
              <w:rPr>
                <w:color w:val="auto"/>
                <w:szCs w:val="21"/>
              </w:rPr>
            </w:pPr>
            <w:r>
              <w:rPr>
                <w:color w:val="auto"/>
                <w:szCs w:val="21"/>
              </w:rPr>
              <w:t>文件管理（20分）</w:t>
            </w:r>
          </w:p>
        </w:tc>
        <w:tc>
          <w:tcPr>
            <w:tcW w:w="1290" w:type="dxa"/>
            <w:vAlign w:val="center"/>
          </w:tcPr>
          <w:p w14:paraId="23506A2C">
            <w:pPr>
              <w:spacing w:line="360" w:lineRule="exact"/>
              <w:jc w:val="center"/>
              <w:rPr>
                <w:color w:val="auto"/>
                <w:szCs w:val="21"/>
              </w:rPr>
            </w:pPr>
            <w:r>
              <w:rPr>
                <w:color w:val="auto"/>
                <w:szCs w:val="21"/>
              </w:rPr>
              <w:t>归档材料（20分）</w:t>
            </w:r>
          </w:p>
        </w:tc>
        <w:tc>
          <w:tcPr>
            <w:tcW w:w="4444" w:type="dxa"/>
            <w:vAlign w:val="center"/>
          </w:tcPr>
          <w:p w14:paraId="51066223">
            <w:pPr>
              <w:spacing w:line="360" w:lineRule="exact"/>
              <w:ind w:left="315" w:hanging="315" w:hangingChars="150"/>
              <w:rPr>
                <w:color w:val="auto"/>
                <w:szCs w:val="21"/>
              </w:rPr>
            </w:pPr>
            <w:r>
              <w:rPr>
                <w:color w:val="auto"/>
                <w:szCs w:val="21"/>
              </w:rPr>
              <w:t>12.实训报告批改规范，成绩评定合理。</w:t>
            </w:r>
          </w:p>
          <w:p w14:paraId="26CB8B6A">
            <w:pPr>
              <w:spacing w:line="360" w:lineRule="exact"/>
              <w:ind w:left="315" w:hanging="315" w:hangingChars="150"/>
              <w:rPr>
                <w:color w:val="auto"/>
                <w:szCs w:val="21"/>
              </w:rPr>
            </w:pPr>
            <w:r>
              <w:rPr>
                <w:color w:val="auto"/>
                <w:szCs w:val="21"/>
              </w:rPr>
              <w:t>13.成绩登记</w:t>
            </w:r>
            <w:r>
              <w:rPr>
                <w:rFonts w:hint="eastAsia"/>
                <w:color w:val="auto"/>
                <w:szCs w:val="21"/>
              </w:rPr>
              <w:t>表</w:t>
            </w:r>
            <w:r>
              <w:rPr>
                <w:color w:val="auto"/>
                <w:szCs w:val="21"/>
              </w:rPr>
              <w:t>按照学校有关规定执行。</w:t>
            </w:r>
          </w:p>
          <w:p w14:paraId="5690A1E9">
            <w:pPr>
              <w:spacing w:line="360" w:lineRule="exact"/>
              <w:ind w:left="315" w:hanging="315" w:hangingChars="150"/>
              <w:rPr>
                <w:color w:val="auto"/>
                <w:szCs w:val="21"/>
              </w:rPr>
            </w:pPr>
            <w:r>
              <w:rPr>
                <w:color w:val="auto"/>
                <w:szCs w:val="21"/>
              </w:rPr>
              <w:t>14.成绩分析</w:t>
            </w:r>
            <w:r>
              <w:rPr>
                <w:rFonts w:hint="eastAsia"/>
                <w:color w:val="auto"/>
                <w:szCs w:val="21"/>
              </w:rPr>
              <w:t>表</w:t>
            </w:r>
            <w:r>
              <w:rPr>
                <w:color w:val="auto"/>
                <w:szCs w:val="21"/>
              </w:rPr>
              <w:t>全面、科学、合理。</w:t>
            </w:r>
          </w:p>
          <w:p w14:paraId="0AA9FA57">
            <w:pPr>
              <w:spacing w:line="360" w:lineRule="exact"/>
              <w:ind w:left="315" w:hanging="315" w:hangingChars="150"/>
              <w:rPr>
                <w:color w:val="auto"/>
                <w:szCs w:val="21"/>
              </w:rPr>
            </w:pPr>
            <w:r>
              <w:rPr>
                <w:color w:val="auto"/>
                <w:szCs w:val="21"/>
              </w:rPr>
              <w:t>15.实训日志、实训设备使用情况记录</w:t>
            </w:r>
            <w:r>
              <w:rPr>
                <w:rFonts w:hint="eastAsia"/>
                <w:color w:val="auto"/>
                <w:szCs w:val="21"/>
              </w:rPr>
              <w:t>表</w:t>
            </w:r>
            <w:r>
              <w:rPr>
                <w:color w:val="auto"/>
                <w:szCs w:val="21"/>
              </w:rPr>
              <w:t>完备、规范。</w:t>
            </w:r>
          </w:p>
        </w:tc>
        <w:tc>
          <w:tcPr>
            <w:tcW w:w="1252" w:type="dxa"/>
            <w:vAlign w:val="center"/>
          </w:tcPr>
          <w:p w14:paraId="1AD7E913">
            <w:pPr>
              <w:spacing w:line="360" w:lineRule="exact"/>
              <w:rPr>
                <w:color w:val="auto"/>
                <w:szCs w:val="21"/>
              </w:rPr>
            </w:pPr>
            <w:r>
              <w:rPr>
                <w:color w:val="auto"/>
                <w:szCs w:val="21"/>
              </w:rPr>
              <w:t>查阅实训报告、成绩表、实训日志等记录</w:t>
            </w:r>
          </w:p>
        </w:tc>
        <w:tc>
          <w:tcPr>
            <w:tcW w:w="725" w:type="dxa"/>
          </w:tcPr>
          <w:p w14:paraId="2A5A926F">
            <w:pPr>
              <w:spacing w:line="360" w:lineRule="exact"/>
              <w:ind w:left="315" w:hanging="315" w:hangingChars="150"/>
              <w:rPr>
                <w:color w:val="auto"/>
                <w:szCs w:val="21"/>
              </w:rPr>
            </w:pPr>
          </w:p>
        </w:tc>
      </w:tr>
    </w:tbl>
    <w:p w14:paraId="5DEC8494">
      <w:pPr>
        <w:spacing w:before="156" w:beforeLines="50" w:after="156" w:afterLines="50"/>
        <w:jc w:val="center"/>
        <w:rPr>
          <w:rFonts w:hint="eastAsia" w:eastAsiaTheme="minorEastAsia"/>
          <w:b/>
          <w:color w:val="auto"/>
          <w:sz w:val="28"/>
          <w:szCs w:val="28"/>
          <w:lang w:eastAsia="zh-CN"/>
        </w:rPr>
      </w:pPr>
      <w:r>
        <w:rPr>
          <w:rFonts w:hint="eastAsia"/>
          <w:b/>
          <w:color w:val="auto"/>
          <w:sz w:val="28"/>
          <w:szCs w:val="28"/>
          <w:lang w:val="en-US" w:eastAsia="zh-CN"/>
        </w:rPr>
        <w:t>三</w:t>
      </w:r>
      <w:r>
        <w:rPr>
          <w:b/>
          <w:color w:val="auto"/>
          <w:sz w:val="28"/>
          <w:szCs w:val="28"/>
        </w:rPr>
        <w:t>、考试环节质量标准及评价分值</w:t>
      </w:r>
      <w:r>
        <w:rPr>
          <w:rFonts w:hint="eastAsia"/>
          <w:b/>
          <w:color w:val="auto"/>
          <w:sz w:val="28"/>
          <w:szCs w:val="28"/>
          <w:lang w:eastAsia="zh-CN"/>
        </w:rPr>
        <w:t>（</w:t>
      </w:r>
      <w:r>
        <w:rPr>
          <w:rFonts w:hint="eastAsia"/>
          <w:b/>
          <w:color w:val="auto"/>
          <w:sz w:val="28"/>
          <w:szCs w:val="28"/>
          <w:lang w:val="en-US" w:eastAsia="zh-CN"/>
        </w:rPr>
        <w:t>见各课程考查方案</w:t>
      </w:r>
      <w:r>
        <w:rPr>
          <w:rFonts w:hint="eastAsia"/>
          <w:b/>
          <w:color w:val="auto"/>
          <w:sz w:val="28"/>
          <w:szCs w:val="28"/>
          <w:lang w:eastAsia="zh-CN"/>
        </w:rPr>
        <w:t>）</w:t>
      </w:r>
    </w:p>
    <w:p w14:paraId="73CFDA67">
      <w:pPr>
        <w:snapToGrid w:val="0"/>
        <w:spacing w:line="440" w:lineRule="exact"/>
        <w:jc w:val="left"/>
        <w:rPr>
          <w:rFonts w:hint="eastAsia" w:asciiTheme="minorEastAsia" w:hAnsiTheme="minorEastAsia" w:cstheme="minorEastAsia"/>
          <w:color w:val="auto"/>
          <w:kern w:val="0"/>
          <w:sz w:val="28"/>
          <w:szCs w:val="28"/>
          <w:highlight w:val="none"/>
        </w:rPr>
      </w:pPr>
    </w:p>
    <w:p w14:paraId="73A43C86">
      <w:pPr>
        <w:snapToGrid w:val="0"/>
        <w:spacing w:line="440" w:lineRule="exact"/>
        <w:jc w:val="left"/>
        <w:rPr>
          <w:rFonts w:hint="eastAsia" w:asciiTheme="minorEastAsia" w:hAnsiTheme="minorEastAsia" w:cstheme="minorEastAsia"/>
          <w:color w:val="auto"/>
          <w:kern w:val="0"/>
          <w:sz w:val="28"/>
          <w:szCs w:val="28"/>
          <w:highlight w:val="none"/>
        </w:rPr>
      </w:pPr>
    </w:p>
    <w:p w14:paraId="1DC44FD0">
      <w:pPr>
        <w:snapToGrid w:val="0"/>
        <w:spacing w:line="440" w:lineRule="exact"/>
        <w:jc w:val="left"/>
        <w:rPr>
          <w:rFonts w:hint="eastAsia" w:asciiTheme="minorEastAsia" w:hAnsiTheme="minorEastAsia" w:cstheme="minorEastAsia"/>
          <w:color w:val="auto"/>
          <w:kern w:val="0"/>
          <w:sz w:val="28"/>
          <w:szCs w:val="28"/>
          <w:highlight w:val="none"/>
        </w:rPr>
      </w:pPr>
    </w:p>
    <w:p w14:paraId="32BBB200">
      <w:pPr>
        <w:snapToGrid w:val="0"/>
        <w:spacing w:line="440" w:lineRule="exact"/>
        <w:jc w:val="left"/>
        <w:rPr>
          <w:rFonts w:hint="eastAsia" w:asciiTheme="minorEastAsia" w:hAnsiTheme="minorEastAsia" w:cstheme="minorEastAsia"/>
          <w:color w:val="auto"/>
          <w:kern w:val="0"/>
          <w:sz w:val="28"/>
          <w:szCs w:val="28"/>
          <w:highlight w:val="none"/>
        </w:rPr>
      </w:pPr>
    </w:p>
    <w:p w14:paraId="023E1584">
      <w:pPr>
        <w:snapToGrid w:val="0"/>
        <w:spacing w:line="440" w:lineRule="exact"/>
        <w:jc w:val="left"/>
        <w:rPr>
          <w:rFonts w:hint="eastAsia" w:asciiTheme="minorEastAsia" w:hAnsiTheme="minorEastAsia" w:cstheme="minorEastAsia"/>
          <w:color w:val="auto"/>
          <w:kern w:val="0"/>
          <w:sz w:val="28"/>
          <w:szCs w:val="28"/>
          <w:highlight w:val="none"/>
        </w:rPr>
      </w:pPr>
    </w:p>
    <w:p w14:paraId="45E9B867">
      <w:pPr>
        <w:snapToGrid w:val="0"/>
        <w:spacing w:line="440" w:lineRule="exact"/>
        <w:jc w:val="left"/>
        <w:rPr>
          <w:rFonts w:hint="eastAsia" w:asciiTheme="minorEastAsia" w:hAnsiTheme="minorEastAsia" w:cstheme="minorEastAsia"/>
          <w:color w:val="auto"/>
          <w:kern w:val="0"/>
          <w:sz w:val="28"/>
          <w:szCs w:val="28"/>
          <w:highlight w:val="none"/>
        </w:rPr>
      </w:pPr>
    </w:p>
    <w:p w14:paraId="718134A5">
      <w:pPr>
        <w:snapToGrid w:val="0"/>
        <w:spacing w:line="440" w:lineRule="exact"/>
        <w:jc w:val="left"/>
        <w:rPr>
          <w:rFonts w:hint="eastAsia" w:asciiTheme="minorEastAsia" w:hAnsiTheme="minorEastAsia" w:cstheme="minorEastAsia"/>
          <w:color w:val="auto"/>
          <w:kern w:val="0"/>
          <w:sz w:val="28"/>
          <w:szCs w:val="28"/>
          <w:highlight w:val="none"/>
        </w:rPr>
      </w:pPr>
    </w:p>
    <w:p w14:paraId="744F0828">
      <w:pPr>
        <w:pStyle w:val="3"/>
        <w:bidi w:val="0"/>
        <w:jc w:val="center"/>
        <w:rPr>
          <w:rFonts w:hint="default" w:ascii="Arial" w:hAnsi="Arial" w:eastAsia="黑体" w:cstheme="minorBidi"/>
          <w:b/>
          <w:color w:val="auto"/>
          <w:kern w:val="2"/>
          <w:sz w:val="36"/>
          <w:szCs w:val="36"/>
          <w:lang w:val="en-US" w:eastAsia="zh-CN" w:bidi="ar-SA"/>
        </w:rPr>
      </w:pPr>
      <w:bookmarkStart w:id="32" w:name="_Toc1231"/>
      <w:r>
        <w:rPr>
          <w:rFonts w:hint="eastAsia" w:ascii="Arial" w:hAnsi="Arial" w:eastAsia="黑体" w:cstheme="minorBidi"/>
          <w:b/>
          <w:color w:val="auto"/>
          <w:kern w:val="2"/>
          <w:sz w:val="36"/>
          <w:szCs w:val="36"/>
          <w:lang w:val="en-US" w:eastAsia="zh-CN" w:bidi="ar-SA"/>
        </w:rPr>
        <w:t>体育部日常教学检查工作</w:t>
      </w:r>
      <w:r>
        <w:rPr>
          <w:rFonts w:hint="eastAsia" w:cstheme="minorBidi"/>
          <w:b/>
          <w:color w:val="auto"/>
          <w:kern w:val="2"/>
          <w:sz w:val="36"/>
          <w:szCs w:val="36"/>
          <w:lang w:val="en-US" w:eastAsia="zh-CN" w:bidi="ar-SA"/>
        </w:rPr>
        <w:t>制度</w:t>
      </w:r>
      <w:bookmarkEnd w:id="32"/>
    </w:p>
    <w:p w14:paraId="30B0A8A0">
      <w:pPr>
        <w:snapToGrid w:val="0"/>
        <w:spacing w:line="440" w:lineRule="exact"/>
        <w:jc w:val="left"/>
        <w:rPr>
          <w:rFonts w:hint="eastAsia" w:asciiTheme="minorEastAsia" w:hAnsiTheme="minorEastAsia" w:cstheme="minorEastAsia"/>
          <w:color w:val="auto"/>
          <w:kern w:val="0"/>
          <w:sz w:val="28"/>
          <w:szCs w:val="28"/>
          <w:highlight w:val="none"/>
        </w:rPr>
      </w:pPr>
    </w:p>
    <w:p w14:paraId="1DBC9A1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为进一步规范教学秩序，加强</w:t>
      </w:r>
      <w:r>
        <w:rPr>
          <w:rFonts w:hint="eastAsia" w:asciiTheme="minorEastAsia" w:hAnsiTheme="minorEastAsia" w:cstheme="minorEastAsia"/>
          <w:color w:val="auto"/>
          <w:kern w:val="0"/>
          <w:sz w:val="28"/>
          <w:szCs w:val="28"/>
          <w:highlight w:val="none"/>
          <w:lang w:val="en-US" w:eastAsia="zh-CN"/>
        </w:rPr>
        <w:t>体育</w:t>
      </w:r>
      <w:r>
        <w:rPr>
          <w:rFonts w:hint="eastAsia" w:asciiTheme="minorEastAsia" w:hAnsiTheme="minorEastAsia" w:cstheme="minorEastAsia"/>
          <w:color w:val="auto"/>
          <w:kern w:val="0"/>
          <w:sz w:val="28"/>
          <w:szCs w:val="28"/>
          <w:highlight w:val="none"/>
        </w:rPr>
        <w:t>教学管理，</w:t>
      </w:r>
      <w:r>
        <w:rPr>
          <w:rFonts w:hint="eastAsia" w:asciiTheme="minorEastAsia" w:hAnsiTheme="minorEastAsia" w:cstheme="minorEastAsia"/>
          <w:color w:val="auto"/>
          <w:kern w:val="0"/>
          <w:sz w:val="28"/>
          <w:szCs w:val="28"/>
          <w:highlight w:val="none"/>
          <w:lang w:val="en-US" w:eastAsia="zh-CN"/>
        </w:rPr>
        <w:t>根据</w:t>
      </w:r>
      <w:r>
        <w:rPr>
          <w:rFonts w:hint="eastAsia" w:asciiTheme="minorEastAsia" w:hAnsiTheme="minorEastAsia" w:cstheme="minorEastAsia"/>
          <w:color w:val="auto"/>
          <w:kern w:val="0"/>
          <w:sz w:val="28"/>
          <w:szCs w:val="28"/>
          <w:highlight w:val="none"/>
        </w:rPr>
        <w:t>学校关于有关文件精神，并</w:t>
      </w:r>
      <w:r>
        <w:rPr>
          <w:rFonts w:hint="eastAsia" w:asciiTheme="minorEastAsia" w:hAnsiTheme="minorEastAsia" w:cstheme="minorEastAsia"/>
          <w:color w:val="auto"/>
          <w:kern w:val="0"/>
          <w:sz w:val="28"/>
          <w:szCs w:val="28"/>
          <w:highlight w:val="none"/>
          <w:lang w:val="en-US" w:eastAsia="zh-CN"/>
        </w:rPr>
        <w:t>体育部教学</w:t>
      </w:r>
      <w:r>
        <w:rPr>
          <w:rFonts w:hint="eastAsia" w:asciiTheme="minorEastAsia" w:hAnsiTheme="minorEastAsia" w:cstheme="minorEastAsia"/>
          <w:color w:val="auto"/>
          <w:kern w:val="0"/>
          <w:sz w:val="28"/>
          <w:szCs w:val="28"/>
          <w:highlight w:val="none"/>
        </w:rPr>
        <w:t>实际</w:t>
      </w:r>
      <w:r>
        <w:rPr>
          <w:rFonts w:hint="eastAsia" w:asciiTheme="minorEastAsia" w:hAnsiTheme="minorEastAsia" w:cstheme="minorEastAsia"/>
          <w:color w:val="auto"/>
          <w:kern w:val="0"/>
          <w:sz w:val="28"/>
          <w:szCs w:val="28"/>
          <w:highlight w:val="none"/>
          <w:lang w:val="en-US" w:eastAsia="zh-CN"/>
        </w:rPr>
        <w:t>做如下规定</w:t>
      </w:r>
      <w:r>
        <w:rPr>
          <w:rFonts w:hint="eastAsia" w:asciiTheme="minorEastAsia" w:hAnsiTheme="minorEastAsia" w:cstheme="minorEastAsia"/>
          <w:color w:val="auto"/>
          <w:kern w:val="0"/>
          <w:sz w:val="28"/>
          <w:szCs w:val="28"/>
          <w:highlight w:val="none"/>
        </w:rPr>
        <w:t>：</w:t>
      </w:r>
    </w:p>
    <w:p w14:paraId="7C630F16">
      <w:pPr>
        <w:snapToGrid w:val="0"/>
        <w:spacing w:line="440" w:lineRule="exact"/>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1、加强部门、教研室查课制，部门每天随机查课二人次以上，由部门负责人执行；</w:t>
      </w:r>
    </w:p>
    <w:p w14:paraId="7A7912E7">
      <w:pPr>
        <w:snapToGrid w:val="0"/>
        <w:spacing w:line="440" w:lineRule="exact"/>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2、每天查课由教务干事、教研室主任及校部教学督导执行，查课人员当天没有或者比较少教学任务；</w:t>
      </w:r>
    </w:p>
    <w:p w14:paraId="39DD4B6A">
      <w:pPr>
        <w:snapToGrid w:val="0"/>
        <w:spacing w:line="440" w:lineRule="exact"/>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lang w:val="en-US" w:eastAsia="zh-CN"/>
        </w:rPr>
        <w:t>3</w:t>
      </w:r>
      <w:r>
        <w:rPr>
          <w:rFonts w:hint="eastAsia" w:asciiTheme="minorEastAsia" w:hAnsiTheme="minorEastAsia" w:cstheme="minorEastAsia"/>
          <w:color w:val="auto"/>
          <w:kern w:val="0"/>
          <w:sz w:val="28"/>
          <w:szCs w:val="28"/>
          <w:highlight w:val="none"/>
        </w:rPr>
        <w:t>、各教研室</w:t>
      </w:r>
      <w:r>
        <w:rPr>
          <w:rFonts w:hint="eastAsia" w:asciiTheme="minorEastAsia" w:hAnsiTheme="minorEastAsia" w:cstheme="minorEastAsia"/>
          <w:color w:val="auto"/>
          <w:kern w:val="0"/>
          <w:sz w:val="28"/>
          <w:szCs w:val="28"/>
          <w:highlight w:val="none"/>
          <w:lang w:val="en-US" w:eastAsia="zh-CN"/>
        </w:rPr>
        <w:t>要经常</w:t>
      </w:r>
      <w:r>
        <w:rPr>
          <w:rFonts w:hint="eastAsia" w:asciiTheme="minorEastAsia" w:hAnsiTheme="minorEastAsia" w:cstheme="minorEastAsia"/>
          <w:color w:val="auto"/>
          <w:kern w:val="0"/>
          <w:sz w:val="28"/>
          <w:szCs w:val="28"/>
          <w:highlight w:val="none"/>
        </w:rPr>
        <w:t>安排</w:t>
      </w:r>
      <w:r>
        <w:rPr>
          <w:rFonts w:hint="eastAsia" w:asciiTheme="minorEastAsia" w:hAnsiTheme="minorEastAsia" w:cstheme="minorEastAsia"/>
          <w:color w:val="auto"/>
          <w:kern w:val="0"/>
          <w:sz w:val="28"/>
          <w:szCs w:val="28"/>
          <w:highlight w:val="none"/>
          <w:lang w:val="en-US" w:eastAsia="zh-CN"/>
        </w:rPr>
        <w:t>查课</w:t>
      </w:r>
      <w:r>
        <w:rPr>
          <w:rFonts w:hint="eastAsia" w:asciiTheme="minorEastAsia" w:hAnsiTheme="minorEastAsia" w:cstheme="minorEastAsia"/>
          <w:color w:val="auto"/>
          <w:kern w:val="0"/>
          <w:sz w:val="28"/>
          <w:szCs w:val="28"/>
          <w:highlight w:val="none"/>
        </w:rPr>
        <w:t>听课评课；</w:t>
      </w:r>
    </w:p>
    <w:p w14:paraId="647C27B1">
      <w:pPr>
        <w:snapToGrid w:val="0"/>
        <w:spacing w:line="440" w:lineRule="exact"/>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lang w:val="en-US" w:eastAsia="zh-CN"/>
        </w:rPr>
        <w:t>4</w:t>
      </w:r>
      <w:r>
        <w:rPr>
          <w:rFonts w:hint="eastAsia" w:asciiTheme="minorEastAsia" w:hAnsiTheme="minorEastAsia" w:cstheme="minorEastAsia"/>
          <w:color w:val="auto"/>
          <w:kern w:val="0"/>
          <w:sz w:val="28"/>
          <w:szCs w:val="28"/>
          <w:highlight w:val="none"/>
        </w:rPr>
        <w:t>、加强教师教案的规范与检查：各教研室应规范本教研室教师教案，教师每节课均应携带授课计划及教案，部门、教研室随堂听课检查。</w:t>
      </w:r>
    </w:p>
    <w:p w14:paraId="37E89990">
      <w:pPr>
        <w:snapToGrid w:val="0"/>
        <w:spacing w:line="440" w:lineRule="exact"/>
        <w:jc w:val="left"/>
        <w:rPr>
          <w:rFonts w:hint="eastAsia" w:asciiTheme="minorEastAsia" w:hAnsiTheme="minorEastAsia" w:cstheme="minorEastAsia"/>
          <w:color w:val="auto"/>
          <w:kern w:val="0"/>
          <w:sz w:val="28"/>
          <w:szCs w:val="28"/>
          <w:highlight w:val="none"/>
        </w:rPr>
      </w:pPr>
    </w:p>
    <w:p w14:paraId="09D5C1B9">
      <w:pPr>
        <w:snapToGrid w:val="0"/>
        <w:spacing w:line="440" w:lineRule="exact"/>
        <w:jc w:val="left"/>
        <w:rPr>
          <w:rFonts w:hint="eastAsia" w:asciiTheme="minorEastAsia" w:hAnsiTheme="minorEastAsia" w:cstheme="minorEastAsia"/>
          <w:color w:val="auto"/>
          <w:kern w:val="0"/>
          <w:sz w:val="28"/>
          <w:szCs w:val="28"/>
          <w:highlight w:val="none"/>
        </w:rPr>
      </w:pPr>
    </w:p>
    <w:p w14:paraId="53728D06">
      <w:pPr>
        <w:spacing w:line="440" w:lineRule="exact"/>
        <w:ind w:firstLine="5040" w:firstLineChars="1800"/>
        <w:rPr>
          <w:rFonts w:hint="eastAsia" w:asciiTheme="minorEastAsia" w:hAnsiTheme="minorEastAsia"/>
          <w:color w:val="auto"/>
          <w:sz w:val="28"/>
          <w:szCs w:val="28"/>
        </w:rPr>
      </w:pP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stheme="minorEastAsia"/>
          <w:color w:val="auto"/>
          <w:kern w:val="0"/>
          <w:sz w:val="28"/>
          <w:szCs w:val="28"/>
          <w:highlight w:val="none"/>
        </w:rPr>
        <w:t xml:space="preserve"> </w:t>
      </w:r>
      <w:r>
        <w:rPr>
          <w:rFonts w:hint="eastAsia" w:asciiTheme="minorEastAsia" w:hAnsiTheme="minorEastAsia" w:cstheme="minorEastAsia"/>
          <w:color w:val="auto"/>
          <w:kern w:val="0"/>
          <w:sz w:val="28"/>
          <w:szCs w:val="28"/>
          <w:highlight w:val="none"/>
          <w:lang w:val="en-US" w:eastAsia="zh-CN"/>
        </w:rPr>
        <w:t xml:space="preserve">          </w:t>
      </w:r>
      <w:r>
        <w:rPr>
          <w:rFonts w:hint="eastAsia" w:asciiTheme="minorEastAsia" w:hAnsiTheme="minorEastAsia"/>
          <w:color w:val="auto"/>
          <w:sz w:val="28"/>
          <w:szCs w:val="28"/>
        </w:rPr>
        <w:t>体育部</w:t>
      </w:r>
    </w:p>
    <w:p w14:paraId="1D6C285E">
      <w:pPr>
        <w:snapToGrid w:val="0"/>
        <w:spacing w:line="440" w:lineRule="exact"/>
        <w:ind w:firstLine="560" w:firstLineChars="200"/>
        <w:jc w:val="right"/>
        <w:rPr>
          <w:rFonts w:asciiTheme="minorEastAsia" w:hAnsiTheme="minorEastAsia" w:cstheme="minorEastAsia"/>
          <w:color w:val="auto"/>
          <w:sz w:val="28"/>
          <w:szCs w:val="28"/>
          <w:highlight w:val="none"/>
        </w:rPr>
      </w:pP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lang w:val="en-US" w:eastAsia="zh-CN"/>
        </w:rPr>
        <w:t>5</w:t>
      </w:r>
      <w:r>
        <w:rPr>
          <w:rFonts w:hint="eastAsia" w:ascii="宋体" w:hAnsi="宋体" w:eastAsia="宋体" w:cs="宋体"/>
          <w:color w:val="auto"/>
          <w:sz w:val="28"/>
          <w:szCs w:val="28"/>
          <w:highlight w:val="none"/>
        </w:rPr>
        <w:t xml:space="preserve"> 年</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月</w:t>
      </w:r>
    </w:p>
    <w:p w14:paraId="379FF2CC">
      <w:pPr>
        <w:snapToGrid w:val="0"/>
        <w:spacing w:line="400" w:lineRule="exact"/>
        <w:ind w:firstLine="420" w:firstLineChars="200"/>
        <w:rPr>
          <w:rFonts w:asciiTheme="minorEastAsia" w:hAnsiTheme="minorEastAsia" w:cstheme="minorEastAsia"/>
          <w:color w:val="auto"/>
          <w:szCs w:val="21"/>
          <w:highlight w:val="none"/>
        </w:rPr>
      </w:pPr>
    </w:p>
    <w:p w14:paraId="7F36DCC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5E19954">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1AD2A1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611F283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2D8C6156">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69E1AA7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6F90978">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B6E1FAE">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5A21D651">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1B8FD65C">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35BC5502">
      <w:pPr>
        <w:snapToGrid w:val="0"/>
        <w:spacing w:line="440" w:lineRule="exact"/>
        <w:ind w:firstLine="560" w:firstLineChars="200"/>
        <w:jc w:val="left"/>
        <w:rPr>
          <w:rFonts w:hint="eastAsia" w:asciiTheme="minorEastAsia" w:hAnsiTheme="minorEastAsia" w:cstheme="minorEastAsia"/>
          <w:color w:val="auto"/>
          <w:kern w:val="0"/>
          <w:sz w:val="28"/>
          <w:szCs w:val="28"/>
          <w:highlight w:val="none"/>
        </w:rPr>
      </w:pPr>
    </w:p>
    <w:p w14:paraId="0A4DCF9F">
      <w:pPr>
        <w:pStyle w:val="3"/>
        <w:keepNext w:val="0"/>
        <w:keepLines w:val="0"/>
        <w:pageBreakBefore w:val="0"/>
        <w:widowControl w:val="0"/>
        <w:kinsoku/>
        <w:wordWrap/>
        <w:overflowPunct/>
        <w:topLinePunct w:val="0"/>
        <w:autoSpaceDE/>
        <w:autoSpaceDN/>
        <w:bidi w:val="0"/>
        <w:adjustRightInd/>
        <w:snapToGrid/>
        <w:spacing w:line="413" w:lineRule="auto"/>
        <w:ind w:firstLine="1807" w:firstLineChars="500"/>
        <w:jc w:val="both"/>
        <w:textAlignment w:val="auto"/>
        <w:rPr>
          <w:rFonts w:hint="eastAsia" w:ascii="Arial" w:hAnsi="Arial" w:eastAsia="黑体" w:cstheme="minorBidi"/>
          <w:b/>
          <w:color w:val="auto"/>
          <w:kern w:val="2"/>
          <w:sz w:val="36"/>
          <w:szCs w:val="36"/>
          <w:lang w:val="en-US" w:eastAsia="zh-CN" w:bidi="ar-SA"/>
        </w:rPr>
      </w:pPr>
    </w:p>
    <w:p w14:paraId="6D70FBE2">
      <w:pPr>
        <w:rPr>
          <w:rFonts w:hint="default"/>
          <w:color w:val="auto"/>
          <w:lang w:val="en-US" w:eastAsia="zh-CN"/>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C2A5E4C-D27B-41D3-A153-ECCC18649DC1}"/>
  </w:font>
  <w:font w:name="黑体">
    <w:panose1 w:val="02010609060101010101"/>
    <w:charset w:val="86"/>
    <w:family w:val="auto"/>
    <w:pitch w:val="default"/>
    <w:sig w:usb0="800002BF" w:usb1="38CF7CFA" w:usb2="00000016" w:usb3="00000000" w:csb0="00040001" w:csb1="00000000"/>
    <w:embedRegular r:id="rId2" w:fontKey="{6A67D889-FF84-4CD5-9217-A1F47ECA297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F8089813-3A77-4FE6-B748-47DB2F295F14}"/>
  </w:font>
  <w:font w:name="Calibri Light">
    <w:altName w:val="Calibri"/>
    <w:panose1 w:val="020F0302020204030204"/>
    <w:charset w:val="00"/>
    <w:family w:val="swiss"/>
    <w:pitch w:val="default"/>
    <w:sig w:usb0="00000000" w:usb1="00000000" w:usb2="00000009" w:usb3="00000000" w:csb0="200001F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embedRegular r:id="rId4" w:fontKey="{12626225-2900-4F25-B44B-B668DCA80E74}"/>
  </w:font>
  <w:font w:name="华文中宋">
    <w:panose1 w:val="02010600040101010101"/>
    <w:charset w:val="86"/>
    <w:family w:val="auto"/>
    <w:pitch w:val="default"/>
    <w:sig w:usb0="00000287" w:usb1="080F0000" w:usb2="00000000" w:usb3="00000000" w:csb0="0004009F" w:csb1="DFD70000"/>
    <w:embedRegular r:id="rId5" w:fontKey="{E5A996F4-0C6D-414A-9CAD-E6EBCBD4AB6B}"/>
  </w:font>
  <w:font w:name="仿宋_GB2312">
    <w:panose1 w:val="02010609030101010101"/>
    <w:charset w:val="86"/>
    <w:family w:val="auto"/>
    <w:pitch w:val="default"/>
    <w:sig w:usb0="00000001" w:usb1="080E0000" w:usb2="00000000" w:usb3="00000000" w:csb0="00040000" w:csb1="00000000"/>
    <w:embedRegular r:id="rId6" w:fontKey="{D39E5184-79E7-4BB1-9DC2-FB9851244E2F}"/>
  </w:font>
  <w:font w:name="方正小标宋简体">
    <w:panose1 w:val="03000509000000000000"/>
    <w:charset w:val="86"/>
    <w:family w:val="auto"/>
    <w:pitch w:val="default"/>
    <w:sig w:usb0="00000001" w:usb1="080E0000" w:usb2="00000000" w:usb3="00000000" w:csb0="00040000" w:csb1="00000000"/>
    <w:embedRegular r:id="rId7" w:fontKey="{0A47B4DD-6345-4FED-87AA-4A7B5A36CE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8FC4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DF1E2">
    <w:pPr>
      <w:pStyle w:val="7"/>
    </w:pPr>
    <w:r>
      <w:rPr>
        <w:sz w:val="18"/>
      </w:rPr>
      <mc:AlternateContent>
        <mc:Choice Requires="wps">
          <w:drawing>
            <wp:anchor distT="0" distB="0" distL="114300" distR="114300" simplePos="0" relativeHeight="251661312" behindDoc="0" locked="0" layoutInCell="1" allowOverlap="1">
              <wp:simplePos x="0" y="0"/>
              <wp:positionH relativeFrom="margin">
                <wp:posOffset>2579370</wp:posOffset>
              </wp:positionH>
              <wp:positionV relativeFrom="paragraph">
                <wp:posOffset>0</wp:posOffset>
              </wp:positionV>
              <wp:extent cx="258445" cy="128905"/>
              <wp:effectExtent l="0" t="0" r="0" b="0"/>
              <wp:wrapNone/>
              <wp:docPr id="1" name="文本框 5"/>
              <wp:cNvGraphicFramePr/>
              <a:graphic xmlns:a="http://schemas.openxmlformats.org/drawingml/2006/main">
                <a:graphicData uri="http://schemas.microsoft.com/office/word/2010/wordprocessingShape">
                  <wps:wsp>
                    <wps:cNvSpPr txBox="1"/>
                    <wps:spPr>
                      <a:xfrm>
                        <a:off x="0" y="0"/>
                        <a:ext cx="258445" cy="128905"/>
                      </a:xfrm>
                      <a:prstGeom prst="rect">
                        <a:avLst/>
                      </a:prstGeom>
                      <a:noFill/>
                      <a:ln>
                        <a:noFill/>
                      </a:ln>
                    </wps:spPr>
                    <wps:txbx>
                      <w:txbxContent>
                        <w:p w14:paraId="1B94A8F0">
                          <w:pPr>
                            <w:pStyle w:val="7"/>
                          </w:pPr>
                          <w:r>
                            <w:fldChar w:fldCharType="begin"/>
                          </w:r>
                          <w:r>
                            <w:instrText xml:space="preserve"> PAGE  \* MERGEFORMAT </w:instrText>
                          </w:r>
                          <w:r>
                            <w:fldChar w:fldCharType="separate"/>
                          </w:r>
                          <w:r>
                            <w:t>1</w:t>
                          </w:r>
                          <w:r>
                            <w:fldChar w:fldCharType="end"/>
                          </w:r>
                        </w:p>
                      </w:txbxContent>
                    </wps:txbx>
                    <wps:bodyPr wrap="square" lIns="0" tIns="0" rIns="0" bIns="0" upright="0">
                      <a:noAutofit/>
                    </wps:bodyPr>
                  </wps:wsp>
                </a:graphicData>
              </a:graphic>
            </wp:anchor>
          </w:drawing>
        </mc:Choice>
        <mc:Fallback>
          <w:pict>
            <v:shape id="文本框 5" o:spid="_x0000_s1026" o:spt="202" type="#_x0000_t202" style="position:absolute;left:0pt;margin-left:203.1pt;margin-top:0pt;height:10.15pt;width:20.35pt;mso-position-horizontal-relative:margin;z-index:251661312;mso-width-relative:page;mso-height-relative:page;" filled="f" stroked="f" coordsize="21600,21600" o:gfxdata="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&#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UiqkHWAAAABwEAAA8AAAAAAAAAAQAgAAAAIgAAAGRy&#10;cy9kb3ducmV2LnhtbFBLAQIUABQAAAAIAIdO4kDHhNf1zgEAAJkDAAAOAAAAAAAAAAEAIAAAACUB&#10;AABkcnMvZTJvRG9jLnhtbFBLBQYAAAAABgAGAFkBAABlBQAAAAA=&#10;">
              <v:fill on="f" focussize="0,0"/>
              <v:stroke on="f"/>
              <v:imagedata o:title=""/>
              <o:lock v:ext="edit" aspectratio="f"/>
              <v:textbox inset="0mm,0mm,0mm,0mm">
                <w:txbxContent>
                  <w:p w14:paraId="1B94A8F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4275B">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EC1143">
                          <w:pPr>
                            <w:pStyle w:val="7"/>
                          </w:pPr>
                          <w:r>
                            <w:fldChar w:fldCharType="begin"/>
                          </w:r>
                          <w:r>
                            <w:instrText xml:space="preserve"> PAGE  \* MERGEFORMAT </w:instrText>
                          </w:r>
                          <w:r>
                            <w:fldChar w:fldCharType="separate"/>
                          </w:r>
                          <w:r>
                            <w:t>258</w:t>
                          </w:r>
                          <w:r>
                            <w:fldChar w:fldCharType="end"/>
                          </w:r>
                        </w:p>
                      </w:txbxContent>
                    </wps:txbx>
                    <wps:bodyPr wrap="none" lIns="0" tIns="0" rIns="0" bIns="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AFGjsoBAACbAwAADgAAAAAAAAABACAAAAAeAQAAZHJzL2Uyb0Rv&#10;Yy54bWxQSwUGAAAAAAYABgBZAQAAWgUAAAAA&#10;">
              <v:fill on="f" focussize="0,0"/>
              <v:stroke on="f"/>
              <v:imagedata o:title=""/>
              <o:lock v:ext="edit" aspectratio="f"/>
              <v:textbox inset="0mm,0mm,0mm,0mm" style="mso-fit-shape-to-text:t;">
                <w:txbxContent>
                  <w:p w14:paraId="5DEC1143">
                    <w:pPr>
                      <w:pStyle w:val="7"/>
                    </w:pPr>
                    <w:r>
                      <w:fldChar w:fldCharType="begin"/>
                    </w:r>
                    <w:r>
                      <w:instrText xml:space="preserve"> PAGE  \* MERGEFORMAT </w:instrText>
                    </w:r>
                    <w:r>
                      <w:fldChar w:fldCharType="separate"/>
                    </w:r>
                    <w:r>
                      <w:t>258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28EC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437805">
                          <w:pPr>
                            <w:pStyle w:val="7"/>
                          </w:pPr>
                          <w:r>
                            <w:fldChar w:fldCharType="begin"/>
                          </w:r>
                          <w:r>
                            <w:instrText xml:space="preserve"> PAGE  \* MERGEFORMAT </w:instrText>
                          </w:r>
                          <w:r>
                            <w:fldChar w:fldCharType="separate"/>
                          </w:r>
                          <w:r>
                            <w:t>260</w:t>
                          </w:r>
                          <w:r>
                            <w:fldChar w:fldCharType="end"/>
                          </w: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4zCs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hGpJieMWR375/u3y49fl51fy&#10;8lVWqA9QY+JdwNQ0vPUDZs9+QGcmPqho8xcpEYyjvuervnJIRORH69V6XWFIYGy+ID57eB4ipHfS&#10;W5KNhkYcYNGVnz5AGlPnlFzN+VttTBmicX85EDN7WO597DFbadgPE6G9b8/Ip8fZN9ThqlNi3juU&#10;Nq/JbMTZ2M/GMUR96Moe5XoQ3hwTNlF6yxVG2KkwDq2wmxYsb8Wf95L18FN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z4zCsoBAACcAwAADgAAAAAAAAABACAAAAAeAQAAZHJzL2Uyb0Rv&#10;Yy54bWxQSwUGAAAAAAYABgBZAQAAWgUAAAAA&#10;">
              <v:fill on="f" focussize="0,0"/>
              <v:stroke on="f"/>
              <v:imagedata o:title=""/>
              <o:lock v:ext="edit" aspectratio="f"/>
              <v:textbox inset="0mm,0mm,0mm,0mm" style="mso-fit-shape-to-text:t;">
                <w:txbxContent>
                  <w:p w14:paraId="4E437805">
                    <w:pPr>
                      <w:pStyle w:val="7"/>
                    </w:pPr>
                    <w:r>
                      <w:fldChar w:fldCharType="begin"/>
                    </w:r>
                    <w:r>
                      <w:instrText xml:space="preserve"> PAGE  \* MERGEFORMAT </w:instrText>
                    </w:r>
                    <w:r>
                      <w:fldChar w:fldCharType="separate"/>
                    </w:r>
                    <w:r>
                      <w:t>260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ECD55">
    <w:pPr>
      <w:pStyle w:val="8"/>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CF65B0"/>
    <w:multiLevelType w:val="singleLevel"/>
    <w:tmpl w:val="FACF65B0"/>
    <w:lvl w:ilvl="0" w:tentative="0">
      <w:start w:val="1"/>
      <w:numFmt w:val="chineseCounting"/>
      <w:suff w:val="nothing"/>
      <w:lvlText w:val="%1、"/>
      <w:lvlJc w:val="left"/>
      <w:rPr>
        <w:rFonts w:hint="eastAsia"/>
      </w:rPr>
    </w:lvl>
  </w:abstractNum>
  <w:abstractNum w:abstractNumId="1">
    <w:nsid w:val="FEBB9914"/>
    <w:multiLevelType w:val="singleLevel"/>
    <w:tmpl w:val="FEBB9914"/>
    <w:lvl w:ilvl="0" w:tentative="0">
      <w:start w:val="1"/>
      <w:numFmt w:val="decimal"/>
      <w:lvlText w:val="%1."/>
      <w:lvlJc w:val="left"/>
      <w:pPr>
        <w:tabs>
          <w:tab w:val="left" w:pos="312"/>
        </w:tabs>
      </w:pPr>
    </w:lvl>
  </w:abstractNum>
  <w:abstractNum w:abstractNumId="2">
    <w:nsid w:val="052B6D66"/>
    <w:multiLevelType w:val="multilevel"/>
    <w:tmpl w:val="052B6D66"/>
    <w:lvl w:ilvl="0" w:tentative="0">
      <w:start w:val="1"/>
      <w:numFmt w:val="decimal"/>
      <w:lvlText w:val="%1."/>
      <w:lvlJc w:val="left"/>
      <w:pPr>
        <w:tabs>
          <w:tab w:val="left" w:pos="240"/>
        </w:tabs>
        <w:ind w:left="240" w:hanging="240"/>
      </w:pPr>
      <w:rPr>
        <w:rFonts w:hint="default"/>
        <w:lang w:eastAsia="zh-C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338819E"/>
    <w:multiLevelType w:val="singleLevel"/>
    <w:tmpl w:val="4338819E"/>
    <w:lvl w:ilvl="0" w:tentative="0">
      <w:start w:val="1"/>
      <w:numFmt w:val="decimal"/>
      <w:lvlText w:val="%1."/>
      <w:lvlJc w:val="left"/>
      <w:pPr>
        <w:tabs>
          <w:tab w:val="left" w:pos="312"/>
        </w:tabs>
      </w:pPr>
    </w:lvl>
  </w:abstractNum>
  <w:abstractNum w:abstractNumId="4">
    <w:nsid w:val="6BC53B07"/>
    <w:multiLevelType w:val="multilevel"/>
    <w:tmpl w:val="6BC53B07"/>
    <w:lvl w:ilvl="0" w:tentative="0">
      <w:start w:val="1"/>
      <w:numFmt w:val="decimal"/>
      <w:lvlText w:val="%1."/>
      <w:lvlJc w:val="left"/>
      <w:pPr>
        <w:tabs>
          <w:tab w:val="left" w:pos="240"/>
        </w:tabs>
        <w:ind w:left="240" w:hanging="2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0A23618"/>
    <w:multiLevelType w:val="multilevel"/>
    <w:tmpl w:val="70A23618"/>
    <w:lvl w:ilvl="0" w:tentative="0">
      <w:start w:val="1"/>
      <w:numFmt w:val="decimal"/>
      <w:lvlText w:val="%1."/>
      <w:lvlJc w:val="left"/>
      <w:pPr>
        <w:tabs>
          <w:tab w:val="left" w:pos="240"/>
        </w:tabs>
        <w:ind w:left="240" w:hanging="2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3A6DB10"/>
    <w:multiLevelType w:val="singleLevel"/>
    <w:tmpl w:val="73A6DB10"/>
    <w:lvl w:ilvl="0" w:tentative="0">
      <w:start w:val="1"/>
      <w:numFmt w:val="decimal"/>
      <w:suff w:val="nothing"/>
      <w:lvlText w:val="%1、"/>
      <w:lvlJc w:val="left"/>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00011E5"/>
    <w:rsid w:val="00006817"/>
    <w:rsid w:val="00006ED1"/>
    <w:rsid w:val="00010D81"/>
    <w:rsid w:val="00011307"/>
    <w:rsid w:val="0001295D"/>
    <w:rsid w:val="00014AFE"/>
    <w:rsid w:val="000171F2"/>
    <w:rsid w:val="000220EA"/>
    <w:rsid w:val="0002223D"/>
    <w:rsid w:val="000248CB"/>
    <w:rsid w:val="00025675"/>
    <w:rsid w:val="00027757"/>
    <w:rsid w:val="0003065E"/>
    <w:rsid w:val="000314DF"/>
    <w:rsid w:val="00035442"/>
    <w:rsid w:val="00037DAB"/>
    <w:rsid w:val="00041D10"/>
    <w:rsid w:val="00041EB2"/>
    <w:rsid w:val="0004573C"/>
    <w:rsid w:val="00045EED"/>
    <w:rsid w:val="00045FD6"/>
    <w:rsid w:val="00052EE1"/>
    <w:rsid w:val="00056D9C"/>
    <w:rsid w:val="00057470"/>
    <w:rsid w:val="00075AB3"/>
    <w:rsid w:val="00084D24"/>
    <w:rsid w:val="0008767B"/>
    <w:rsid w:val="00092800"/>
    <w:rsid w:val="0009541E"/>
    <w:rsid w:val="000961D2"/>
    <w:rsid w:val="00097910"/>
    <w:rsid w:val="000A14E8"/>
    <w:rsid w:val="000A7831"/>
    <w:rsid w:val="000B351E"/>
    <w:rsid w:val="000B4681"/>
    <w:rsid w:val="000C6E60"/>
    <w:rsid w:val="000D0B06"/>
    <w:rsid w:val="000D43E9"/>
    <w:rsid w:val="000D50F0"/>
    <w:rsid w:val="000E083E"/>
    <w:rsid w:val="000E16C4"/>
    <w:rsid w:val="000F406D"/>
    <w:rsid w:val="000F4588"/>
    <w:rsid w:val="000F52C7"/>
    <w:rsid w:val="001019A1"/>
    <w:rsid w:val="00102D70"/>
    <w:rsid w:val="00104B64"/>
    <w:rsid w:val="00107191"/>
    <w:rsid w:val="001150D9"/>
    <w:rsid w:val="00117F72"/>
    <w:rsid w:val="00120537"/>
    <w:rsid w:val="0012069B"/>
    <w:rsid w:val="001249AB"/>
    <w:rsid w:val="00126CA4"/>
    <w:rsid w:val="00127A53"/>
    <w:rsid w:val="0013092F"/>
    <w:rsid w:val="0013423C"/>
    <w:rsid w:val="00134C58"/>
    <w:rsid w:val="00140226"/>
    <w:rsid w:val="0014108A"/>
    <w:rsid w:val="00153433"/>
    <w:rsid w:val="001603C2"/>
    <w:rsid w:val="001612BD"/>
    <w:rsid w:val="00163B74"/>
    <w:rsid w:val="00164500"/>
    <w:rsid w:val="00167C96"/>
    <w:rsid w:val="00167E64"/>
    <w:rsid w:val="0017490B"/>
    <w:rsid w:val="00175346"/>
    <w:rsid w:val="00177432"/>
    <w:rsid w:val="00180780"/>
    <w:rsid w:val="00181E04"/>
    <w:rsid w:val="0018230E"/>
    <w:rsid w:val="00182F58"/>
    <w:rsid w:val="001938C2"/>
    <w:rsid w:val="00196CB6"/>
    <w:rsid w:val="001A359E"/>
    <w:rsid w:val="001A4AB7"/>
    <w:rsid w:val="001A6902"/>
    <w:rsid w:val="001B38D7"/>
    <w:rsid w:val="001B4565"/>
    <w:rsid w:val="001C00F0"/>
    <w:rsid w:val="001C191E"/>
    <w:rsid w:val="001C6084"/>
    <w:rsid w:val="001D30CB"/>
    <w:rsid w:val="001D4EEB"/>
    <w:rsid w:val="001D6F02"/>
    <w:rsid w:val="001E0F8D"/>
    <w:rsid w:val="001F21CD"/>
    <w:rsid w:val="001F2D23"/>
    <w:rsid w:val="001F364C"/>
    <w:rsid w:val="001F3F80"/>
    <w:rsid w:val="001F41C7"/>
    <w:rsid w:val="001F4F2D"/>
    <w:rsid w:val="002018A1"/>
    <w:rsid w:val="00202926"/>
    <w:rsid w:val="00204F7F"/>
    <w:rsid w:val="002105B0"/>
    <w:rsid w:val="002117E0"/>
    <w:rsid w:val="002124AA"/>
    <w:rsid w:val="00217FE5"/>
    <w:rsid w:val="00224AA8"/>
    <w:rsid w:val="00227FD3"/>
    <w:rsid w:val="0023048D"/>
    <w:rsid w:val="0023068E"/>
    <w:rsid w:val="00230832"/>
    <w:rsid w:val="00233A10"/>
    <w:rsid w:val="00234601"/>
    <w:rsid w:val="002352A2"/>
    <w:rsid w:val="00237212"/>
    <w:rsid w:val="00240126"/>
    <w:rsid w:val="0024785C"/>
    <w:rsid w:val="00252F01"/>
    <w:rsid w:val="002562B2"/>
    <w:rsid w:val="00260E42"/>
    <w:rsid w:val="00260FAB"/>
    <w:rsid w:val="0026645F"/>
    <w:rsid w:val="0026695A"/>
    <w:rsid w:val="00271E6D"/>
    <w:rsid w:val="002728BA"/>
    <w:rsid w:val="0027735B"/>
    <w:rsid w:val="002811F4"/>
    <w:rsid w:val="0028686A"/>
    <w:rsid w:val="002874EC"/>
    <w:rsid w:val="00292BCA"/>
    <w:rsid w:val="002A25A3"/>
    <w:rsid w:val="002A31D2"/>
    <w:rsid w:val="002A471C"/>
    <w:rsid w:val="002A65C9"/>
    <w:rsid w:val="002B04C8"/>
    <w:rsid w:val="002B13B3"/>
    <w:rsid w:val="002B2E0A"/>
    <w:rsid w:val="002B328D"/>
    <w:rsid w:val="002B4664"/>
    <w:rsid w:val="002B6FC3"/>
    <w:rsid w:val="002B7D16"/>
    <w:rsid w:val="002C0509"/>
    <w:rsid w:val="002C4F6C"/>
    <w:rsid w:val="002D3C5D"/>
    <w:rsid w:val="002D468D"/>
    <w:rsid w:val="002E1EED"/>
    <w:rsid w:val="002E45E0"/>
    <w:rsid w:val="002F008D"/>
    <w:rsid w:val="002F0946"/>
    <w:rsid w:val="002F1247"/>
    <w:rsid w:val="002F14F4"/>
    <w:rsid w:val="002F3FAF"/>
    <w:rsid w:val="002F5F1D"/>
    <w:rsid w:val="002F7085"/>
    <w:rsid w:val="00300768"/>
    <w:rsid w:val="00301EDC"/>
    <w:rsid w:val="00310DDD"/>
    <w:rsid w:val="003119D8"/>
    <w:rsid w:val="003152AB"/>
    <w:rsid w:val="00315F15"/>
    <w:rsid w:val="00316648"/>
    <w:rsid w:val="00317F2C"/>
    <w:rsid w:val="00323A97"/>
    <w:rsid w:val="00323D43"/>
    <w:rsid w:val="0032492B"/>
    <w:rsid w:val="003258CC"/>
    <w:rsid w:val="00325965"/>
    <w:rsid w:val="00330BAE"/>
    <w:rsid w:val="00332EEB"/>
    <w:rsid w:val="003333C7"/>
    <w:rsid w:val="00336089"/>
    <w:rsid w:val="0034153E"/>
    <w:rsid w:val="00342AD7"/>
    <w:rsid w:val="00343ABE"/>
    <w:rsid w:val="00344940"/>
    <w:rsid w:val="00346BDE"/>
    <w:rsid w:val="00350B10"/>
    <w:rsid w:val="00351B13"/>
    <w:rsid w:val="00354BDA"/>
    <w:rsid w:val="00355F6D"/>
    <w:rsid w:val="003617FD"/>
    <w:rsid w:val="003661DD"/>
    <w:rsid w:val="00367804"/>
    <w:rsid w:val="00370961"/>
    <w:rsid w:val="00377523"/>
    <w:rsid w:val="00380184"/>
    <w:rsid w:val="003820B6"/>
    <w:rsid w:val="00382B0E"/>
    <w:rsid w:val="003951B1"/>
    <w:rsid w:val="003A0A16"/>
    <w:rsid w:val="003A15A1"/>
    <w:rsid w:val="003A6C5C"/>
    <w:rsid w:val="003B164F"/>
    <w:rsid w:val="003B3A4C"/>
    <w:rsid w:val="003B4836"/>
    <w:rsid w:val="003B4840"/>
    <w:rsid w:val="003C1636"/>
    <w:rsid w:val="003C16D7"/>
    <w:rsid w:val="003C3750"/>
    <w:rsid w:val="003F12D0"/>
    <w:rsid w:val="003F1843"/>
    <w:rsid w:val="003F6EDB"/>
    <w:rsid w:val="00401665"/>
    <w:rsid w:val="00402F24"/>
    <w:rsid w:val="00403A51"/>
    <w:rsid w:val="00404206"/>
    <w:rsid w:val="00406178"/>
    <w:rsid w:val="00406A09"/>
    <w:rsid w:val="004135CA"/>
    <w:rsid w:val="00414F53"/>
    <w:rsid w:val="0041640B"/>
    <w:rsid w:val="004166B2"/>
    <w:rsid w:val="00417700"/>
    <w:rsid w:val="00423AB0"/>
    <w:rsid w:val="00423D98"/>
    <w:rsid w:val="00434BAE"/>
    <w:rsid w:val="0043570F"/>
    <w:rsid w:val="00436BF4"/>
    <w:rsid w:val="004403D5"/>
    <w:rsid w:val="004409D4"/>
    <w:rsid w:val="00444A3C"/>
    <w:rsid w:val="0044513F"/>
    <w:rsid w:val="00445944"/>
    <w:rsid w:val="00446C27"/>
    <w:rsid w:val="004643FB"/>
    <w:rsid w:val="004657E6"/>
    <w:rsid w:val="00465C4C"/>
    <w:rsid w:val="004675F7"/>
    <w:rsid w:val="00467ADA"/>
    <w:rsid w:val="00477FDF"/>
    <w:rsid w:val="00482B0D"/>
    <w:rsid w:val="00483AA7"/>
    <w:rsid w:val="00490189"/>
    <w:rsid w:val="00494719"/>
    <w:rsid w:val="00494AA4"/>
    <w:rsid w:val="004A1FD2"/>
    <w:rsid w:val="004A4F27"/>
    <w:rsid w:val="004B00A9"/>
    <w:rsid w:val="004B20D8"/>
    <w:rsid w:val="004B2960"/>
    <w:rsid w:val="004C05F9"/>
    <w:rsid w:val="004C1986"/>
    <w:rsid w:val="004C2365"/>
    <w:rsid w:val="004C4A9A"/>
    <w:rsid w:val="004C4DC7"/>
    <w:rsid w:val="004D20A7"/>
    <w:rsid w:val="004D53AC"/>
    <w:rsid w:val="004D71AA"/>
    <w:rsid w:val="004D73F4"/>
    <w:rsid w:val="004D7DC7"/>
    <w:rsid w:val="004E538D"/>
    <w:rsid w:val="004E6FDA"/>
    <w:rsid w:val="004E7986"/>
    <w:rsid w:val="004F38A9"/>
    <w:rsid w:val="004F4460"/>
    <w:rsid w:val="004F5B5B"/>
    <w:rsid w:val="005017D4"/>
    <w:rsid w:val="00501BEC"/>
    <w:rsid w:val="00502652"/>
    <w:rsid w:val="005074C0"/>
    <w:rsid w:val="00507E09"/>
    <w:rsid w:val="00511088"/>
    <w:rsid w:val="005110F4"/>
    <w:rsid w:val="00512CB7"/>
    <w:rsid w:val="0051378D"/>
    <w:rsid w:val="00514DBB"/>
    <w:rsid w:val="005168E7"/>
    <w:rsid w:val="0052214D"/>
    <w:rsid w:val="00530667"/>
    <w:rsid w:val="00530FD9"/>
    <w:rsid w:val="0054296B"/>
    <w:rsid w:val="00547BD5"/>
    <w:rsid w:val="005551C9"/>
    <w:rsid w:val="0055616B"/>
    <w:rsid w:val="0055677A"/>
    <w:rsid w:val="005574FC"/>
    <w:rsid w:val="00557744"/>
    <w:rsid w:val="00557CFD"/>
    <w:rsid w:val="00561535"/>
    <w:rsid w:val="00563FB6"/>
    <w:rsid w:val="00565D95"/>
    <w:rsid w:val="005741A8"/>
    <w:rsid w:val="00576354"/>
    <w:rsid w:val="00577D67"/>
    <w:rsid w:val="00581D2A"/>
    <w:rsid w:val="005822CB"/>
    <w:rsid w:val="00582809"/>
    <w:rsid w:val="00582A21"/>
    <w:rsid w:val="0058412F"/>
    <w:rsid w:val="00584688"/>
    <w:rsid w:val="005857BB"/>
    <w:rsid w:val="005863A8"/>
    <w:rsid w:val="00590763"/>
    <w:rsid w:val="005979F8"/>
    <w:rsid w:val="005A20FC"/>
    <w:rsid w:val="005A258E"/>
    <w:rsid w:val="005A2B4E"/>
    <w:rsid w:val="005A4A1C"/>
    <w:rsid w:val="005A5E55"/>
    <w:rsid w:val="005A6833"/>
    <w:rsid w:val="005A6BEB"/>
    <w:rsid w:val="005A7367"/>
    <w:rsid w:val="005B2F4A"/>
    <w:rsid w:val="005B44DF"/>
    <w:rsid w:val="005C2A2D"/>
    <w:rsid w:val="005C3237"/>
    <w:rsid w:val="005C4985"/>
    <w:rsid w:val="005D006B"/>
    <w:rsid w:val="005D066F"/>
    <w:rsid w:val="005D2AD7"/>
    <w:rsid w:val="005D60B8"/>
    <w:rsid w:val="005D60B9"/>
    <w:rsid w:val="005D78CD"/>
    <w:rsid w:val="005E29AA"/>
    <w:rsid w:val="005E75F3"/>
    <w:rsid w:val="005F6E72"/>
    <w:rsid w:val="005F7C63"/>
    <w:rsid w:val="00600EEA"/>
    <w:rsid w:val="006018B4"/>
    <w:rsid w:val="00601EE2"/>
    <w:rsid w:val="00605A2E"/>
    <w:rsid w:val="006137A2"/>
    <w:rsid w:val="006138D1"/>
    <w:rsid w:val="006206C7"/>
    <w:rsid w:val="00622435"/>
    <w:rsid w:val="00625CF3"/>
    <w:rsid w:val="006303A0"/>
    <w:rsid w:val="00635B3B"/>
    <w:rsid w:val="006405D3"/>
    <w:rsid w:val="00641501"/>
    <w:rsid w:val="00641878"/>
    <w:rsid w:val="0065009B"/>
    <w:rsid w:val="006506E7"/>
    <w:rsid w:val="0065433D"/>
    <w:rsid w:val="0065483F"/>
    <w:rsid w:val="006564A4"/>
    <w:rsid w:val="00672876"/>
    <w:rsid w:val="00674E0C"/>
    <w:rsid w:val="00677B8B"/>
    <w:rsid w:val="00680F55"/>
    <w:rsid w:val="00685AF2"/>
    <w:rsid w:val="0068707C"/>
    <w:rsid w:val="006875E0"/>
    <w:rsid w:val="00694DF4"/>
    <w:rsid w:val="006A1AD6"/>
    <w:rsid w:val="006A1E9E"/>
    <w:rsid w:val="006A376A"/>
    <w:rsid w:val="006A5891"/>
    <w:rsid w:val="006A7B80"/>
    <w:rsid w:val="006B2493"/>
    <w:rsid w:val="006B62A8"/>
    <w:rsid w:val="006C00BC"/>
    <w:rsid w:val="006C061B"/>
    <w:rsid w:val="006E006D"/>
    <w:rsid w:val="006E1B0C"/>
    <w:rsid w:val="006E2877"/>
    <w:rsid w:val="006E2AAA"/>
    <w:rsid w:val="006E4388"/>
    <w:rsid w:val="006E6F84"/>
    <w:rsid w:val="006F0F77"/>
    <w:rsid w:val="006F31E9"/>
    <w:rsid w:val="006F696D"/>
    <w:rsid w:val="0070172A"/>
    <w:rsid w:val="007046C5"/>
    <w:rsid w:val="007229DD"/>
    <w:rsid w:val="0072358D"/>
    <w:rsid w:val="007247F2"/>
    <w:rsid w:val="00724A9D"/>
    <w:rsid w:val="00727D91"/>
    <w:rsid w:val="00731A42"/>
    <w:rsid w:val="00732CEA"/>
    <w:rsid w:val="007340CA"/>
    <w:rsid w:val="00740926"/>
    <w:rsid w:val="00741436"/>
    <w:rsid w:val="007431F0"/>
    <w:rsid w:val="007437DC"/>
    <w:rsid w:val="00744E53"/>
    <w:rsid w:val="00751240"/>
    <w:rsid w:val="007519D3"/>
    <w:rsid w:val="00757708"/>
    <w:rsid w:val="00764D3D"/>
    <w:rsid w:val="00765CFA"/>
    <w:rsid w:val="007736BE"/>
    <w:rsid w:val="00775146"/>
    <w:rsid w:val="007751DD"/>
    <w:rsid w:val="00775D11"/>
    <w:rsid w:val="007765FD"/>
    <w:rsid w:val="00776EEA"/>
    <w:rsid w:val="00782427"/>
    <w:rsid w:val="00783457"/>
    <w:rsid w:val="00783653"/>
    <w:rsid w:val="00785733"/>
    <w:rsid w:val="00786C09"/>
    <w:rsid w:val="00787E44"/>
    <w:rsid w:val="007912C5"/>
    <w:rsid w:val="007916A5"/>
    <w:rsid w:val="00791DE7"/>
    <w:rsid w:val="00796231"/>
    <w:rsid w:val="00796F11"/>
    <w:rsid w:val="00797454"/>
    <w:rsid w:val="00797CDD"/>
    <w:rsid w:val="007A665B"/>
    <w:rsid w:val="007B25F7"/>
    <w:rsid w:val="007B2BEC"/>
    <w:rsid w:val="007B3F7C"/>
    <w:rsid w:val="007B69F3"/>
    <w:rsid w:val="007B7A5E"/>
    <w:rsid w:val="007C0388"/>
    <w:rsid w:val="007C11D2"/>
    <w:rsid w:val="007C1659"/>
    <w:rsid w:val="007C3645"/>
    <w:rsid w:val="007C4F4C"/>
    <w:rsid w:val="007D0F07"/>
    <w:rsid w:val="007D56D4"/>
    <w:rsid w:val="007D6F07"/>
    <w:rsid w:val="007E2373"/>
    <w:rsid w:val="007E2552"/>
    <w:rsid w:val="007E71C1"/>
    <w:rsid w:val="007E7E03"/>
    <w:rsid w:val="007E7FB9"/>
    <w:rsid w:val="007F0059"/>
    <w:rsid w:val="007F02C9"/>
    <w:rsid w:val="007F0398"/>
    <w:rsid w:val="007F332E"/>
    <w:rsid w:val="008042D1"/>
    <w:rsid w:val="008044E2"/>
    <w:rsid w:val="00804FDE"/>
    <w:rsid w:val="0080503E"/>
    <w:rsid w:val="008078FE"/>
    <w:rsid w:val="0081345A"/>
    <w:rsid w:val="00814039"/>
    <w:rsid w:val="008147E9"/>
    <w:rsid w:val="00814A6D"/>
    <w:rsid w:val="00814EA2"/>
    <w:rsid w:val="00816A38"/>
    <w:rsid w:val="00816ACA"/>
    <w:rsid w:val="008200F4"/>
    <w:rsid w:val="00821CFD"/>
    <w:rsid w:val="008249DC"/>
    <w:rsid w:val="008257EA"/>
    <w:rsid w:val="0082775F"/>
    <w:rsid w:val="00831251"/>
    <w:rsid w:val="008316FE"/>
    <w:rsid w:val="00833972"/>
    <w:rsid w:val="00840B5A"/>
    <w:rsid w:val="00841A48"/>
    <w:rsid w:val="00853C4D"/>
    <w:rsid w:val="00853ED5"/>
    <w:rsid w:val="0086091C"/>
    <w:rsid w:val="00866CFC"/>
    <w:rsid w:val="00872C62"/>
    <w:rsid w:val="00873D7D"/>
    <w:rsid w:val="00875755"/>
    <w:rsid w:val="008805DD"/>
    <w:rsid w:val="00882577"/>
    <w:rsid w:val="00884D2E"/>
    <w:rsid w:val="0088711B"/>
    <w:rsid w:val="008908C4"/>
    <w:rsid w:val="00890E61"/>
    <w:rsid w:val="0089116A"/>
    <w:rsid w:val="0089354B"/>
    <w:rsid w:val="00894437"/>
    <w:rsid w:val="008A2454"/>
    <w:rsid w:val="008A4288"/>
    <w:rsid w:val="008B33D3"/>
    <w:rsid w:val="008B6D5C"/>
    <w:rsid w:val="008C0122"/>
    <w:rsid w:val="008C59E6"/>
    <w:rsid w:val="008C5FEB"/>
    <w:rsid w:val="008D0CE6"/>
    <w:rsid w:val="008D2953"/>
    <w:rsid w:val="008D3647"/>
    <w:rsid w:val="008D6A11"/>
    <w:rsid w:val="008E0F6F"/>
    <w:rsid w:val="008E501A"/>
    <w:rsid w:val="008F02E2"/>
    <w:rsid w:val="008F2E9D"/>
    <w:rsid w:val="00906428"/>
    <w:rsid w:val="00914728"/>
    <w:rsid w:val="00917627"/>
    <w:rsid w:val="00917E02"/>
    <w:rsid w:val="00920E34"/>
    <w:rsid w:val="009232A9"/>
    <w:rsid w:val="00924F0A"/>
    <w:rsid w:val="00925AD3"/>
    <w:rsid w:val="00940348"/>
    <w:rsid w:val="00942B58"/>
    <w:rsid w:val="00944DD2"/>
    <w:rsid w:val="00946B1F"/>
    <w:rsid w:val="009472E2"/>
    <w:rsid w:val="00952F00"/>
    <w:rsid w:val="00954634"/>
    <w:rsid w:val="00955D53"/>
    <w:rsid w:val="00961D90"/>
    <w:rsid w:val="00963D78"/>
    <w:rsid w:val="0096592A"/>
    <w:rsid w:val="009678CD"/>
    <w:rsid w:val="00972CD9"/>
    <w:rsid w:val="00980A4C"/>
    <w:rsid w:val="00981D03"/>
    <w:rsid w:val="00981FF1"/>
    <w:rsid w:val="00983420"/>
    <w:rsid w:val="0098482A"/>
    <w:rsid w:val="00985D48"/>
    <w:rsid w:val="0099070C"/>
    <w:rsid w:val="009929AF"/>
    <w:rsid w:val="00995A27"/>
    <w:rsid w:val="009970A8"/>
    <w:rsid w:val="00997630"/>
    <w:rsid w:val="009979DA"/>
    <w:rsid w:val="009A2BA4"/>
    <w:rsid w:val="009A388E"/>
    <w:rsid w:val="009A3954"/>
    <w:rsid w:val="009B2589"/>
    <w:rsid w:val="009B427E"/>
    <w:rsid w:val="009B63D0"/>
    <w:rsid w:val="009C1658"/>
    <w:rsid w:val="009C1765"/>
    <w:rsid w:val="009C3BD8"/>
    <w:rsid w:val="009C6259"/>
    <w:rsid w:val="009C6F8D"/>
    <w:rsid w:val="009D0B10"/>
    <w:rsid w:val="009D3C37"/>
    <w:rsid w:val="009D5642"/>
    <w:rsid w:val="009D5ABB"/>
    <w:rsid w:val="009D6D4E"/>
    <w:rsid w:val="009E039C"/>
    <w:rsid w:val="009E09A8"/>
    <w:rsid w:val="009E3546"/>
    <w:rsid w:val="009E5756"/>
    <w:rsid w:val="009E7486"/>
    <w:rsid w:val="009F0421"/>
    <w:rsid w:val="009F1683"/>
    <w:rsid w:val="009F59FA"/>
    <w:rsid w:val="00A007D3"/>
    <w:rsid w:val="00A0235B"/>
    <w:rsid w:val="00A03026"/>
    <w:rsid w:val="00A038C7"/>
    <w:rsid w:val="00A05662"/>
    <w:rsid w:val="00A06286"/>
    <w:rsid w:val="00A06AFB"/>
    <w:rsid w:val="00A07485"/>
    <w:rsid w:val="00A10D48"/>
    <w:rsid w:val="00A14C82"/>
    <w:rsid w:val="00A23754"/>
    <w:rsid w:val="00A238EB"/>
    <w:rsid w:val="00A25204"/>
    <w:rsid w:val="00A2575F"/>
    <w:rsid w:val="00A3024C"/>
    <w:rsid w:val="00A346EB"/>
    <w:rsid w:val="00A465FD"/>
    <w:rsid w:val="00A509A2"/>
    <w:rsid w:val="00A57436"/>
    <w:rsid w:val="00A73C4E"/>
    <w:rsid w:val="00A7559F"/>
    <w:rsid w:val="00A76C3F"/>
    <w:rsid w:val="00A81227"/>
    <w:rsid w:val="00A87317"/>
    <w:rsid w:val="00A9184A"/>
    <w:rsid w:val="00A94308"/>
    <w:rsid w:val="00A94D64"/>
    <w:rsid w:val="00AA65FC"/>
    <w:rsid w:val="00AA78BC"/>
    <w:rsid w:val="00AB0816"/>
    <w:rsid w:val="00AB16BE"/>
    <w:rsid w:val="00AB7039"/>
    <w:rsid w:val="00AC17F6"/>
    <w:rsid w:val="00AC1ED0"/>
    <w:rsid w:val="00AC4AA0"/>
    <w:rsid w:val="00AC50AB"/>
    <w:rsid w:val="00AC5967"/>
    <w:rsid w:val="00AC5C2B"/>
    <w:rsid w:val="00AC789D"/>
    <w:rsid w:val="00AD1C2B"/>
    <w:rsid w:val="00AD2A2B"/>
    <w:rsid w:val="00AD3E60"/>
    <w:rsid w:val="00AD4C1A"/>
    <w:rsid w:val="00AD560A"/>
    <w:rsid w:val="00AD61EC"/>
    <w:rsid w:val="00AD694C"/>
    <w:rsid w:val="00AE0FB2"/>
    <w:rsid w:val="00AE1A84"/>
    <w:rsid w:val="00AE1D27"/>
    <w:rsid w:val="00AE7D98"/>
    <w:rsid w:val="00B016F2"/>
    <w:rsid w:val="00B02010"/>
    <w:rsid w:val="00B048F9"/>
    <w:rsid w:val="00B11C9F"/>
    <w:rsid w:val="00B131EB"/>
    <w:rsid w:val="00B2291B"/>
    <w:rsid w:val="00B32CE2"/>
    <w:rsid w:val="00B35574"/>
    <w:rsid w:val="00B37D0F"/>
    <w:rsid w:val="00B44B75"/>
    <w:rsid w:val="00B472E1"/>
    <w:rsid w:val="00B51743"/>
    <w:rsid w:val="00B532CD"/>
    <w:rsid w:val="00B569DF"/>
    <w:rsid w:val="00B62308"/>
    <w:rsid w:val="00B63A3A"/>
    <w:rsid w:val="00B65D5D"/>
    <w:rsid w:val="00B700B8"/>
    <w:rsid w:val="00B72486"/>
    <w:rsid w:val="00B72E37"/>
    <w:rsid w:val="00B738FE"/>
    <w:rsid w:val="00B73A74"/>
    <w:rsid w:val="00B74EE8"/>
    <w:rsid w:val="00B7758E"/>
    <w:rsid w:val="00B81E4B"/>
    <w:rsid w:val="00B8259A"/>
    <w:rsid w:val="00B8337E"/>
    <w:rsid w:val="00B85B60"/>
    <w:rsid w:val="00B85DA1"/>
    <w:rsid w:val="00B87CE3"/>
    <w:rsid w:val="00B90673"/>
    <w:rsid w:val="00B91588"/>
    <w:rsid w:val="00B919F2"/>
    <w:rsid w:val="00B970E6"/>
    <w:rsid w:val="00BA04BE"/>
    <w:rsid w:val="00BA3DCC"/>
    <w:rsid w:val="00BA453D"/>
    <w:rsid w:val="00BB0145"/>
    <w:rsid w:val="00BB1243"/>
    <w:rsid w:val="00BB338A"/>
    <w:rsid w:val="00BB441D"/>
    <w:rsid w:val="00BB57CA"/>
    <w:rsid w:val="00BC313E"/>
    <w:rsid w:val="00BE169C"/>
    <w:rsid w:val="00BE613A"/>
    <w:rsid w:val="00BE6E42"/>
    <w:rsid w:val="00BE6F96"/>
    <w:rsid w:val="00BE7030"/>
    <w:rsid w:val="00BF20F1"/>
    <w:rsid w:val="00BF7BF7"/>
    <w:rsid w:val="00C026AD"/>
    <w:rsid w:val="00C042E3"/>
    <w:rsid w:val="00C04440"/>
    <w:rsid w:val="00C052DA"/>
    <w:rsid w:val="00C05DFC"/>
    <w:rsid w:val="00C1328D"/>
    <w:rsid w:val="00C144DD"/>
    <w:rsid w:val="00C17B3B"/>
    <w:rsid w:val="00C27230"/>
    <w:rsid w:val="00C30D45"/>
    <w:rsid w:val="00C36A23"/>
    <w:rsid w:val="00C4242E"/>
    <w:rsid w:val="00C43DB6"/>
    <w:rsid w:val="00C6176A"/>
    <w:rsid w:val="00C64617"/>
    <w:rsid w:val="00C66808"/>
    <w:rsid w:val="00C712F0"/>
    <w:rsid w:val="00C74DA7"/>
    <w:rsid w:val="00C835C5"/>
    <w:rsid w:val="00C839AE"/>
    <w:rsid w:val="00C84022"/>
    <w:rsid w:val="00C857AE"/>
    <w:rsid w:val="00C85EB7"/>
    <w:rsid w:val="00C87ED6"/>
    <w:rsid w:val="00C908A5"/>
    <w:rsid w:val="00C90E80"/>
    <w:rsid w:val="00C92FDB"/>
    <w:rsid w:val="00C93359"/>
    <w:rsid w:val="00CA23F5"/>
    <w:rsid w:val="00CA2AB4"/>
    <w:rsid w:val="00CA414D"/>
    <w:rsid w:val="00CA64B4"/>
    <w:rsid w:val="00CB2E7E"/>
    <w:rsid w:val="00CB6981"/>
    <w:rsid w:val="00CC0B2A"/>
    <w:rsid w:val="00CC1580"/>
    <w:rsid w:val="00CC322E"/>
    <w:rsid w:val="00CC3F33"/>
    <w:rsid w:val="00CC4E1E"/>
    <w:rsid w:val="00CC6C2D"/>
    <w:rsid w:val="00CD1DA5"/>
    <w:rsid w:val="00CD1FD0"/>
    <w:rsid w:val="00CD2D5D"/>
    <w:rsid w:val="00CD35A5"/>
    <w:rsid w:val="00CD3D6E"/>
    <w:rsid w:val="00CD4730"/>
    <w:rsid w:val="00CD6140"/>
    <w:rsid w:val="00CD78B8"/>
    <w:rsid w:val="00CF2F53"/>
    <w:rsid w:val="00CF3A44"/>
    <w:rsid w:val="00CF5B34"/>
    <w:rsid w:val="00D0191B"/>
    <w:rsid w:val="00D050D5"/>
    <w:rsid w:val="00D1343A"/>
    <w:rsid w:val="00D21B45"/>
    <w:rsid w:val="00D22C2D"/>
    <w:rsid w:val="00D31290"/>
    <w:rsid w:val="00D33D47"/>
    <w:rsid w:val="00D40C9F"/>
    <w:rsid w:val="00D43B0F"/>
    <w:rsid w:val="00D442C1"/>
    <w:rsid w:val="00D44459"/>
    <w:rsid w:val="00D476B5"/>
    <w:rsid w:val="00D52807"/>
    <w:rsid w:val="00D56036"/>
    <w:rsid w:val="00D566B1"/>
    <w:rsid w:val="00D63E28"/>
    <w:rsid w:val="00D641A8"/>
    <w:rsid w:val="00D673CD"/>
    <w:rsid w:val="00D70CB0"/>
    <w:rsid w:val="00D71D2C"/>
    <w:rsid w:val="00D74DB4"/>
    <w:rsid w:val="00D75762"/>
    <w:rsid w:val="00D75B6E"/>
    <w:rsid w:val="00D83760"/>
    <w:rsid w:val="00D9362B"/>
    <w:rsid w:val="00D96EAF"/>
    <w:rsid w:val="00DA1E8E"/>
    <w:rsid w:val="00DA39D6"/>
    <w:rsid w:val="00DA3B7B"/>
    <w:rsid w:val="00DA4041"/>
    <w:rsid w:val="00DA792B"/>
    <w:rsid w:val="00DB2FBC"/>
    <w:rsid w:val="00DB3B95"/>
    <w:rsid w:val="00DB5D8A"/>
    <w:rsid w:val="00DC1CE4"/>
    <w:rsid w:val="00DC500D"/>
    <w:rsid w:val="00DC7E0D"/>
    <w:rsid w:val="00DD4847"/>
    <w:rsid w:val="00DD5F3A"/>
    <w:rsid w:val="00DD76E3"/>
    <w:rsid w:val="00DD794D"/>
    <w:rsid w:val="00DE54F7"/>
    <w:rsid w:val="00DF43CA"/>
    <w:rsid w:val="00DF53ED"/>
    <w:rsid w:val="00DF5F9E"/>
    <w:rsid w:val="00DF7906"/>
    <w:rsid w:val="00DF7C62"/>
    <w:rsid w:val="00E0238D"/>
    <w:rsid w:val="00E035D6"/>
    <w:rsid w:val="00E063EB"/>
    <w:rsid w:val="00E07458"/>
    <w:rsid w:val="00E1281D"/>
    <w:rsid w:val="00E177A7"/>
    <w:rsid w:val="00E17A2A"/>
    <w:rsid w:val="00E21C6E"/>
    <w:rsid w:val="00E23A50"/>
    <w:rsid w:val="00E26FAE"/>
    <w:rsid w:val="00E35D97"/>
    <w:rsid w:val="00E36653"/>
    <w:rsid w:val="00E36BC3"/>
    <w:rsid w:val="00E43CA3"/>
    <w:rsid w:val="00E452CB"/>
    <w:rsid w:val="00E47933"/>
    <w:rsid w:val="00E514FB"/>
    <w:rsid w:val="00E52643"/>
    <w:rsid w:val="00E704CA"/>
    <w:rsid w:val="00E721C0"/>
    <w:rsid w:val="00E73520"/>
    <w:rsid w:val="00E73C97"/>
    <w:rsid w:val="00E75046"/>
    <w:rsid w:val="00E75A12"/>
    <w:rsid w:val="00E83726"/>
    <w:rsid w:val="00E83C73"/>
    <w:rsid w:val="00E9153C"/>
    <w:rsid w:val="00E93BE9"/>
    <w:rsid w:val="00EA247F"/>
    <w:rsid w:val="00EA2C34"/>
    <w:rsid w:val="00EA784F"/>
    <w:rsid w:val="00EB25D5"/>
    <w:rsid w:val="00EB316B"/>
    <w:rsid w:val="00EB3CB7"/>
    <w:rsid w:val="00EB47CA"/>
    <w:rsid w:val="00EB58C3"/>
    <w:rsid w:val="00EB729B"/>
    <w:rsid w:val="00EC31E2"/>
    <w:rsid w:val="00EC3420"/>
    <w:rsid w:val="00EC3732"/>
    <w:rsid w:val="00EC38B6"/>
    <w:rsid w:val="00ED0F4D"/>
    <w:rsid w:val="00ED1E45"/>
    <w:rsid w:val="00ED3583"/>
    <w:rsid w:val="00ED38F7"/>
    <w:rsid w:val="00ED4BE0"/>
    <w:rsid w:val="00ED62FD"/>
    <w:rsid w:val="00ED6AA4"/>
    <w:rsid w:val="00ED7D09"/>
    <w:rsid w:val="00ED7F34"/>
    <w:rsid w:val="00EE0FD3"/>
    <w:rsid w:val="00EE1C6E"/>
    <w:rsid w:val="00EE39DA"/>
    <w:rsid w:val="00EE5954"/>
    <w:rsid w:val="00EE7C12"/>
    <w:rsid w:val="00EF0B33"/>
    <w:rsid w:val="00EF234E"/>
    <w:rsid w:val="00EF45CF"/>
    <w:rsid w:val="00EF75D0"/>
    <w:rsid w:val="00EF7663"/>
    <w:rsid w:val="00F030DC"/>
    <w:rsid w:val="00F03C30"/>
    <w:rsid w:val="00F044BD"/>
    <w:rsid w:val="00F05953"/>
    <w:rsid w:val="00F062BB"/>
    <w:rsid w:val="00F06482"/>
    <w:rsid w:val="00F07A4B"/>
    <w:rsid w:val="00F1030A"/>
    <w:rsid w:val="00F12BA8"/>
    <w:rsid w:val="00F2026E"/>
    <w:rsid w:val="00F22C0E"/>
    <w:rsid w:val="00F23092"/>
    <w:rsid w:val="00F319BC"/>
    <w:rsid w:val="00F328FD"/>
    <w:rsid w:val="00F338C3"/>
    <w:rsid w:val="00F351DD"/>
    <w:rsid w:val="00F354C4"/>
    <w:rsid w:val="00F35DE7"/>
    <w:rsid w:val="00F375A8"/>
    <w:rsid w:val="00F467AB"/>
    <w:rsid w:val="00F5076D"/>
    <w:rsid w:val="00F50B76"/>
    <w:rsid w:val="00F518D5"/>
    <w:rsid w:val="00F61570"/>
    <w:rsid w:val="00F63755"/>
    <w:rsid w:val="00F63E20"/>
    <w:rsid w:val="00F7785C"/>
    <w:rsid w:val="00F77F99"/>
    <w:rsid w:val="00F80BF4"/>
    <w:rsid w:val="00F817B3"/>
    <w:rsid w:val="00F81804"/>
    <w:rsid w:val="00F8382A"/>
    <w:rsid w:val="00F84F31"/>
    <w:rsid w:val="00F85FFA"/>
    <w:rsid w:val="00F86B36"/>
    <w:rsid w:val="00F87AD0"/>
    <w:rsid w:val="00F902E3"/>
    <w:rsid w:val="00F90329"/>
    <w:rsid w:val="00F921DF"/>
    <w:rsid w:val="00F93795"/>
    <w:rsid w:val="00F9500F"/>
    <w:rsid w:val="00FA06C8"/>
    <w:rsid w:val="00FA0EDE"/>
    <w:rsid w:val="00FA0FDC"/>
    <w:rsid w:val="00FA20FC"/>
    <w:rsid w:val="00FA4AA9"/>
    <w:rsid w:val="00FB0A68"/>
    <w:rsid w:val="00FB2506"/>
    <w:rsid w:val="00FB2508"/>
    <w:rsid w:val="00FB515F"/>
    <w:rsid w:val="00FB62F5"/>
    <w:rsid w:val="00FC075F"/>
    <w:rsid w:val="00FC66FE"/>
    <w:rsid w:val="00FC6E9A"/>
    <w:rsid w:val="00FD0359"/>
    <w:rsid w:val="00FD2433"/>
    <w:rsid w:val="00FD595C"/>
    <w:rsid w:val="00FD7E7A"/>
    <w:rsid w:val="00FE4944"/>
    <w:rsid w:val="00FE6498"/>
    <w:rsid w:val="00FF1A88"/>
    <w:rsid w:val="00FF3725"/>
    <w:rsid w:val="00FF4E42"/>
    <w:rsid w:val="00FF6A0B"/>
    <w:rsid w:val="00FF7F96"/>
    <w:rsid w:val="011F461A"/>
    <w:rsid w:val="012B4701"/>
    <w:rsid w:val="01AB4CC3"/>
    <w:rsid w:val="0211145A"/>
    <w:rsid w:val="02CB3789"/>
    <w:rsid w:val="03293ACD"/>
    <w:rsid w:val="03B92498"/>
    <w:rsid w:val="03B95E7C"/>
    <w:rsid w:val="048662AD"/>
    <w:rsid w:val="05704DD8"/>
    <w:rsid w:val="05AA62E9"/>
    <w:rsid w:val="05D435B9"/>
    <w:rsid w:val="064222D0"/>
    <w:rsid w:val="07091040"/>
    <w:rsid w:val="070954E4"/>
    <w:rsid w:val="07470439"/>
    <w:rsid w:val="077F1302"/>
    <w:rsid w:val="07966D78"/>
    <w:rsid w:val="07DE115F"/>
    <w:rsid w:val="07E775D3"/>
    <w:rsid w:val="08033CE1"/>
    <w:rsid w:val="08362309"/>
    <w:rsid w:val="083D3697"/>
    <w:rsid w:val="084F33CB"/>
    <w:rsid w:val="08C50865"/>
    <w:rsid w:val="0A296AEF"/>
    <w:rsid w:val="0A394B6C"/>
    <w:rsid w:val="0A6E4C3F"/>
    <w:rsid w:val="0A762E91"/>
    <w:rsid w:val="0AD46DD3"/>
    <w:rsid w:val="0B0C60DD"/>
    <w:rsid w:val="0B224DC6"/>
    <w:rsid w:val="0BF215BE"/>
    <w:rsid w:val="0BFF63DE"/>
    <w:rsid w:val="0D354866"/>
    <w:rsid w:val="0DC325C2"/>
    <w:rsid w:val="0DD11338"/>
    <w:rsid w:val="0DED346A"/>
    <w:rsid w:val="0E1B0902"/>
    <w:rsid w:val="0E481E67"/>
    <w:rsid w:val="0E513D5C"/>
    <w:rsid w:val="0EB6629C"/>
    <w:rsid w:val="0ED05E0B"/>
    <w:rsid w:val="0EF820BE"/>
    <w:rsid w:val="0EFC4D69"/>
    <w:rsid w:val="0F20161D"/>
    <w:rsid w:val="0F72670E"/>
    <w:rsid w:val="0F9379E3"/>
    <w:rsid w:val="0FE516F1"/>
    <w:rsid w:val="0FFB1AE1"/>
    <w:rsid w:val="100902B1"/>
    <w:rsid w:val="10635C65"/>
    <w:rsid w:val="107212EE"/>
    <w:rsid w:val="10AF0089"/>
    <w:rsid w:val="10C44B45"/>
    <w:rsid w:val="10E6341D"/>
    <w:rsid w:val="10FF266F"/>
    <w:rsid w:val="110E5BD1"/>
    <w:rsid w:val="11186A50"/>
    <w:rsid w:val="114531EB"/>
    <w:rsid w:val="116003F7"/>
    <w:rsid w:val="11B2427E"/>
    <w:rsid w:val="11D8639F"/>
    <w:rsid w:val="121963AF"/>
    <w:rsid w:val="123A74FE"/>
    <w:rsid w:val="124B44D5"/>
    <w:rsid w:val="124C6FED"/>
    <w:rsid w:val="12535865"/>
    <w:rsid w:val="12BC78AF"/>
    <w:rsid w:val="13353F90"/>
    <w:rsid w:val="13A72827"/>
    <w:rsid w:val="13AF70FB"/>
    <w:rsid w:val="141E2D95"/>
    <w:rsid w:val="142169AD"/>
    <w:rsid w:val="142676D5"/>
    <w:rsid w:val="14567086"/>
    <w:rsid w:val="14840C24"/>
    <w:rsid w:val="14CA0FAA"/>
    <w:rsid w:val="14DB3A52"/>
    <w:rsid w:val="156F6E5A"/>
    <w:rsid w:val="15C2342E"/>
    <w:rsid w:val="16135A37"/>
    <w:rsid w:val="162E2871"/>
    <w:rsid w:val="163B0AEA"/>
    <w:rsid w:val="168F6536"/>
    <w:rsid w:val="17013AE2"/>
    <w:rsid w:val="182827BD"/>
    <w:rsid w:val="184C7B10"/>
    <w:rsid w:val="188D1AD1"/>
    <w:rsid w:val="189861B4"/>
    <w:rsid w:val="189D783A"/>
    <w:rsid w:val="194128BC"/>
    <w:rsid w:val="194D6D0F"/>
    <w:rsid w:val="1A064DFB"/>
    <w:rsid w:val="1A4810E8"/>
    <w:rsid w:val="1A9A39F3"/>
    <w:rsid w:val="1ADA13B7"/>
    <w:rsid w:val="1AE14356"/>
    <w:rsid w:val="1CBF6BBF"/>
    <w:rsid w:val="1D380739"/>
    <w:rsid w:val="1D41732E"/>
    <w:rsid w:val="1D915B20"/>
    <w:rsid w:val="1DD41F50"/>
    <w:rsid w:val="1DD43CFE"/>
    <w:rsid w:val="1EBE6CAF"/>
    <w:rsid w:val="1F913174"/>
    <w:rsid w:val="1FF03A39"/>
    <w:rsid w:val="20BA05D0"/>
    <w:rsid w:val="20C22534"/>
    <w:rsid w:val="20FA1CCE"/>
    <w:rsid w:val="21015C88"/>
    <w:rsid w:val="212F5A4E"/>
    <w:rsid w:val="21CC0C90"/>
    <w:rsid w:val="22CD37C3"/>
    <w:rsid w:val="22D12F02"/>
    <w:rsid w:val="23166EBF"/>
    <w:rsid w:val="23325AC8"/>
    <w:rsid w:val="233A0AA7"/>
    <w:rsid w:val="233A377D"/>
    <w:rsid w:val="23735D67"/>
    <w:rsid w:val="23A52A9B"/>
    <w:rsid w:val="23A60D90"/>
    <w:rsid w:val="246F4781"/>
    <w:rsid w:val="24A106B2"/>
    <w:rsid w:val="24B62014"/>
    <w:rsid w:val="24C358E1"/>
    <w:rsid w:val="25890919"/>
    <w:rsid w:val="25FC4EB5"/>
    <w:rsid w:val="2650792B"/>
    <w:rsid w:val="26722306"/>
    <w:rsid w:val="27035654"/>
    <w:rsid w:val="27872402"/>
    <w:rsid w:val="27B9598C"/>
    <w:rsid w:val="28814E99"/>
    <w:rsid w:val="28E514B5"/>
    <w:rsid w:val="28F65471"/>
    <w:rsid w:val="2942055A"/>
    <w:rsid w:val="29487B12"/>
    <w:rsid w:val="298F2AC6"/>
    <w:rsid w:val="29A869D2"/>
    <w:rsid w:val="29C56ACF"/>
    <w:rsid w:val="2A2A06AF"/>
    <w:rsid w:val="2A473EA9"/>
    <w:rsid w:val="2ACF7C28"/>
    <w:rsid w:val="2ADB0B50"/>
    <w:rsid w:val="2AE01F34"/>
    <w:rsid w:val="2B0379D1"/>
    <w:rsid w:val="2B471FB3"/>
    <w:rsid w:val="2B7F6429"/>
    <w:rsid w:val="2C0156B8"/>
    <w:rsid w:val="2C0F2467"/>
    <w:rsid w:val="2C9655C7"/>
    <w:rsid w:val="2D34446E"/>
    <w:rsid w:val="2DD815E9"/>
    <w:rsid w:val="2DDB2896"/>
    <w:rsid w:val="2DEE1A6E"/>
    <w:rsid w:val="2DF3097B"/>
    <w:rsid w:val="2E8539F8"/>
    <w:rsid w:val="2E8756B3"/>
    <w:rsid w:val="2F2B74F6"/>
    <w:rsid w:val="2FBE03B0"/>
    <w:rsid w:val="2FE029D7"/>
    <w:rsid w:val="30360848"/>
    <w:rsid w:val="303801B4"/>
    <w:rsid w:val="3062163D"/>
    <w:rsid w:val="30820C57"/>
    <w:rsid w:val="30850E88"/>
    <w:rsid w:val="309670C7"/>
    <w:rsid w:val="31A17F44"/>
    <w:rsid w:val="31F23E0C"/>
    <w:rsid w:val="321C3675"/>
    <w:rsid w:val="326748E5"/>
    <w:rsid w:val="326D16E0"/>
    <w:rsid w:val="32736FB8"/>
    <w:rsid w:val="329F0927"/>
    <w:rsid w:val="32AE2918"/>
    <w:rsid w:val="32DC56D7"/>
    <w:rsid w:val="32E504C7"/>
    <w:rsid w:val="346B298C"/>
    <w:rsid w:val="34906DD3"/>
    <w:rsid w:val="34F34F5A"/>
    <w:rsid w:val="353327E3"/>
    <w:rsid w:val="35B46497"/>
    <w:rsid w:val="35EB3E83"/>
    <w:rsid w:val="361A548C"/>
    <w:rsid w:val="36612578"/>
    <w:rsid w:val="366854D4"/>
    <w:rsid w:val="36926042"/>
    <w:rsid w:val="36EE0366"/>
    <w:rsid w:val="370276D6"/>
    <w:rsid w:val="37991DE9"/>
    <w:rsid w:val="37F05781"/>
    <w:rsid w:val="38211DDE"/>
    <w:rsid w:val="382B1B19"/>
    <w:rsid w:val="38421074"/>
    <w:rsid w:val="386162C5"/>
    <w:rsid w:val="38863812"/>
    <w:rsid w:val="38FB618B"/>
    <w:rsid w:val="38FF6FD8"/>
    <w:rsid w:val="3901336D"/>
    <w:rsid w:val="391352CE"/>
    <w:rsid w:val="394D6566"/>
    <w:rsid w:val="398E0B19"/>
    <w:rsid w:val="39C12F31"/>
    <w:rsid w:val="3A23463A"/>
    <w:rsid w:val="3A63448C"/>
    <w:rsid w:val="3AA82495"/>
    <w:rsid w:val="3AB17449"/>
    <w:rsid w:val="3AF66A54"/>
    <w:rsid w:val="3AFD51F5"/>
    <w:rsid w:val="3B021CBF"/>
    <w:rsid w:val="3B0C001E"/>
    <w:rsid w:val="3C1063F2"/>
    <w:rsid w:val="3C3E65DD"/>
    <w:rsid w:val="3C402C41"/>
    <w:rsid w:val="3CFD4BC8"/>
    <w:rsid w:val="3D1D7DE2"/>
    <w:rsid w:val="3D6E39A3"/>
    <w:rsid w:val="3D840E45"/>
    <w:rsid w:val="3D912B45"/>
    <w:rsid w:val="3E8C7FE7"/>
    <w:rsid w:val="3EC62D97"/>
    <w:rsid w:val="3EF142B8"/>
    <w:rsid w:val="3F181629"/>
    <w:rsid w:val="3FA92A2D"/>
    <w:rsid w:val="3FD54923"/>
    <w:rsid w:val="40031B9B"/>
    <w:rsid w:val="40470868"/>
    <w:rsid w:val="409A0B3F"/>
    <w:rsid w:val="41160006"/>
    <w:rsid w:val="41237074"/>
    <w:rsid w:val="41530501"/>
    <w:rsid w:val="416F6659"/>
    <w:rsid w:val="418C4597"/>
    <w:rsid w:val="41C45CB4"/>
    <w:rsid w:val="41C85FA7"/>
    <w:rsid w:val="41E0247E"/>
    <w:rsid w:val="42876CE2"/>
    <w:rsid w:val="42BB6EC6"/>
    <w:rsid w:val="43D61CCF"/>
    <w:rsid w:val="446D5971"/>
    <w:rsid w:val="44BD69EB"/>
    <w:rsid w:val="44E47AAC"/>
    <w:rsid w:val="45423E74"/>
    <w:rsid w:val="46B75DE7"/>
    <w:rsid w:val="46F064D8"/>
    <w:rsid w:val="470C494A"/>
    <w:rsid w:val="471A0124"/>
    <w:rsid w:val="47226B8C"/>
    <w:rsid w:val="47696C7F"/>
    <w:rsid w:val="48117779"/>
    <w:rsid w:val="4842338C"/>
    <w:rsid w:val="48E7672C"/>
    <w:rsid w:val="492D05E3"/>
    <w:rsid w:val="49425710"/>
    <w:rsid w:val="49692D39"/>
    <w:rsid w:val="497231DF"/>
    <w:rsid w:val="497955D6"/>
    <w:rsid w:val="499F593D"/>
    <w:rsid w:val="4A2D63C1"/>
    <w:rsid w:val="4A7364C9"/>
    <w:rsid w:val="4A7B4B0F"/>
    <w:rsid w:val="4B0C247A"/>
    <w:rsid w:val="4B201F5D"/>
    <w:rsid w:val="4C3B7FCB"/>
    <w:rsid w:val="4C404189"/>
    <w:rsid w:val="4C507BE4"/>
    <w:rsid w:val="4D0B421B"/>
    <w:rsid w:val="4D107007"/>
    <w:rsid w:val="4D387556"/>
    <w:rsid w:val="4D77197E"/>
    <w:rsid w:val="4DE11740"/>
    <w:rsid w:val="4DE56EB1"/>
    <w:rsid w:val="4E561001"/>
    <w:rsid w:val="4EB15812"/>
    <w:rsid w:val="4F147B4F"/>
    <w:rsid w:val="4F7A3E56"/>
    <w:rsid w:val="4FC77B7E"/>
    <w:rsid w:val="4FE45773"/>
    <w:rsid w:val="505C7A00"/>
    <w:rsid w:val="509727E6"/>
    <w:rsid w:val="50E92B21"/>
    <w:rsid w:val="512A18AC"/>
    <w:rsid w:val="51592426"/>
    <w:rsid w:val="518E3BE9"/>
    <w:rsid w:val="51FF3696"/>
    <w:rsid w:val="525336D8"/>
    <w:rsid w:val="52B15DE1"/>
    <w:rsid w:val="52CF270B"/>
    <w:rsid w:val="530D44A6"/>
    <w:rsid w:val="538861FA"/>
    <w:rsid w:val="53975A03"/>
    <w:rsid w:val="53D03CBA"/>
    <w:rsid w:val="53F654B5"/>
    <w:rsid w:val="54283960"/>
    <w:rsid w:val="543F11CA"/>
    <w:rsid w:val="54422FE9"/>
    <w:rsid w:val="54553C1D"/>
    <w:rsid w:val="545A6004"/>
    <w:rsid w:val="54D55DE8"/>
    <w:rsid w:val="552A1E7A"/>
    <w:rsid w:val="55935C72"/>
    <w:rsid w:val="55B47996"/>
    <w:rsid w:val="55C44F25"/>
    <w:rsid w:val="56042C59"/>
    <w:rsid w:val="561248C8"/>
    <w:rsid w:val="561E73E0"/>
    <w:rsid w:val="56EC24B8"/>
    <w:rsid w:val="57483054"/>
    <w:rsid w:val="574E3750"/>
    <w:rsid w:val="57CE2F91"/>
    <w:rsid w:val="57F4409A"/>
    <w:rsid w:val="58465DDE"/>
    <w:rsid w:val="584E0792"/>
    <w:rsid w:val="58900246"/>
    <w:rsid w:val="58C425E6"/>
    <w:rsid w:val="58CB0528"/>
    <w:rsid w:val="59107055"/>
    <w:rsid w:val="59376914"/>
    <w:rsid w:val="59590F80"/>
    <w:rsid w:val="59617E35"/>
    <w:rsid w:val="59CD168F"/>
    <w:rsid w:val="59F92236"/>
    <w:rsid w:val="5A2E41BB"/>
    <w:rsid w:val="5A3F2E55"/>
    <w:rsid w:val="5A40530B"/>
    <w:rsid w:val="5A47702B"/>
    <w:rsid w:val="5A6776CD"/>
    <w:rsid w:val="5B631C42"/>
    <w:rsid w:val="5B6D0D13"/>
    <w:rsid w:val="5BB1416B"/>
    <w:rsid w:val="5BC30933"/>
    <w:rsid w:val="5BD91F04"/>
    <w:rsid w:val="5C2006EB"/>
    <w:rsid w:val="5CA3073A"/>
    <w:rsid w:val="5D8D2FA6"/>
    <w:rsid w:val="5DA86032"/>
    <w:rsid w:val="5DC160D7"/>
    <w:rsid w:val="5DC37872"/>
    <w:rsid w:val="5DDA62A3"/>
    <w:rsid w:val="5E127950"/>
    <w:rsid w:val="5ED27171"/>
    <w:rsid w:val="5EDC29B7"/>
    <w:rsid w:val="5F09445F"/>
    <w:rsid w:val="5F5E2F2C"/>
    <w:rsid w:val="5F8243B1"/>
    <w:rsid w:val="5F8607FD"/>
    <w:rsid w:val="5FAF36A8"/>
    <w:rsid w:val="5FE25353"/>
    <w:rsid w:val="5FE72F0D"/>
    <w:rsid w:val="602F47E9"/>
    <w:rsid w:val="608C39E9"/>
    <w:rsid w:val="60DF6A6D"/>
    <w:rsid w:val="61191D08"/>
    <w:rsid w:val="619646E7"/>
    <w:rsid w:val="61CB22EF"/>
    <w:rsid w:val="61ED11F2"/>
    <w:rsid w:val="62032351"/>
    <w:rsid w:val="621912AD"/>
    <w:rsid w:val="622A170C"/>
    <w:rsid w:val="62382CD4"/>
    <w:rsid w:val="62CE169A"/>
    <w:rsid w:val="62FD297C"/>
    <w:rsid w:val="63880302"/>
    <w:rsid w:val="63E5391D"/>
    <w:rsid w:val="644F6F88"/>
    <w:rsid w:val="649008E6"/>
    <w:rsid w:val="64FE630D"/>
    <w:rsid w:val="65E5725E"/>
    <w:rsid w:val="66193D37"/>
    <w:rsid w:val="669111FE"/>
    <w:rsid w:val="66CB6964"/>
    <w:rsid w:val="670A38BA"/>
    <w:rsid w:val="67116CBE"/>
    <w:rsid w:val="67150720"/>
    <w:rsid w:val="673F6048"/>
    <w:rsid w:val="68C937DA"/>
    <w:rsid w:val="69674E7A"/>
    <w:rsid w:val="6A2904FB"/>
    <w:rsid w:val="6A4C74C8"/>
    <w:rsid w:val="6A7A0D56"/>
    <w:rsid w:val="6AA60958"/>
    <w:rsid w:val="6AFA2BC7"/>
    <w:rsid w:val="6B4A24D7"/>
    <w:rsid w:val="6BF1329A"/>
    <w:rsid w:val="6C04029A"/>
    <w:rsid w:val="6C195998"/>
    <w:rsid w:val="6C20148A"/>
    <w:rsid w:val="6C6F1A38"/>
    <w:rsid w:val="6C87071B"/>
    <w:rsid w:val="6CB36501"/>
    <w:rsid w:val="6CCA7D73"/>
    <w:rsid w:val="6D0F39D8"/>
    <w:rsid w:val="6D4D3DD6"/>
    <w:rsid w:val="6D7F221F"/>
    <w:rsid w:val="6D832352"/>
    <w:rsid w:val="6D9C2C3D"/>
    <w:rsid w:val="6ED9322A"/>
    <w:rsid w:val="6F4C122B"/>
    <w:rsid w:val="6F55769C"/>
    <w:rsid w:val="6F597C2E"/>
    <w:rsid w:val="6F8D32DA"/>
    <w:rsid w:val="6FB40867"/>
    <w:rsid w:val="6FB46AB9"/>
    <w:rsid w:val="6FD21FA5"/>
    <w:rsid w:val="701E2184"/>
    <w:rsid w:val="70295A43"/>
    <w:rsid w:val="707E32E2"/>
    <w:rsid w:val="70D34D1C"/>
    <w:rsid w:val="71662034"/>
    <w:rsid w:val="71965311"/>
    <w:rsid w:val="71DF7D87"/>
    <w:rsid w:val="7239468C"/>
    <w:rsid w:val="72804FAC"/>
    <w:rsid w:val="72834520"/>
    <w:rsid w:val="72EA6541"/>
    <w:rsid w:val="73297C21"/>
    <w:rsid w:val="733C44E4"/>
    <w:rsid w:val="73407BEC"/>
    <w:rsid w:val="73872883"/>
    <w:rsid w:val="739E5AB6"/>
    <w:rsid w:val="73AF6AB9"/>
    <w:rsid w:val="74826207"/>
    <w:rsid w:val="749B0247"/>
    <w:rsid w:val="74C72DEA"/>
    <w:rsid w:val="757A596F"/>
    <w:rsid w:val="757B6DFA"/>
    <w:rsid w:val="75A5137D"/>
    <w:rsid w:val="75C37A55"/>
    <w:rsid w:val="75D02172"/>
    <w:rsid w:val="75E874BC"/>
    <w:rsid w:val="75F97D70"/>
    <w:rsid w:val="75FC4DB0"/>
    <w:rsid w:val="76271642"/>
    <w:rsid w:val="76391AC6"/>
    <w:rsid w:val="7642496E"/>
    <w:rsid w:val="76AA4771"/>
    <w:rsid w:val="76B57164"/>
    <w:rsid w:val="7755292F"/>
    <w:rsid w:val="779D6084"/>
    <w:rsid w:val="77B05DB7"/>
    <w:rsid w:val="77D54EEA"/>
    <w:rsid w:val="78E026CC"/>
    <w:rsid w:val="797D43BF"/>
    <w:rsid w:val="79BA2F1D"/>
    <w:rsid w:val="79BF6786"/>
    <w:rsid w:val="7A6C58B0"/>
    <w:rsid w:val="7AAC4F5C"/>
    <w:rsid w:val="7AF76C62"/>
    <w:rsid w:val="7AF90204"/>
    <w:rsid w:val="7B3C1D02"/>
    <w:rsid w:val="7B4C2CDA"/>
    <w:rsid w:val="7B69592A"/>
    <w:rsid w:val="7B97541C"/>
    <w:rsid w:val="7BCA2442"/>
    <w:rsid w:val="7C350F81"/>
    <w:rsid w:val="7C372603"/>
    <w:rsid w:val="7C43544C"/>
    <w:rsid w:val="7C802388"/>
    <w:rsid w:val="7CB225D2"/>
    <w:rsid w:val="7CF76237"/>
    <w:rsid w:val="7D0D15B6"/>
    <w:rsid w:val="7D654B5B"/>
    <w:rsid w:val="7E074257"/>
    <w:rsid w:val="7EAD68D8"/>
    <w:rsid w:val="7EDA196C"/>
    <w:rsid w:val="7F576A35"/>
    <w:rsid w:val="7F853FCE"/>
    <w:rsid w:val="7FDD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0"/>
    <w:pPr>
      <w:keepNext/>
      <w:keepLines/>
      <w:jc w:val="center"/>
      <w:outlineLvl w:val="0"/>
    </w:pPr>
    <w:rPr>
      <w:rFonts w:ascii="Times New Roman" w:hAnsi="Times New Roman" w:eastAsia="黑体"/>
      <w:kern w:val="44"/>
      <w:sz w:val="24"/>
      <w:szCs w:val="2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w:basedOn w:val="1"/>
    <w:qFormat/>
    <w:uiPriority w:val="0"/>
    <w:pPr>
      <w:spacing w:after="120"/>
      <w:ind w:left="420" w:leftChars="200"/>
    </w:pPr>
    <w:rPr>
      <w:rFonts w:ascii="Times New Roman" w:hAnsi="Times New Roman"/>
      <w:kern w:val="0"/>
      <w:sz w:val="20"/>
      <w:szCs w:val="20"/>
    </w:rPr>
  </w:style>
  <w:style w:type="paragraph" w:styleId="6">
    <w:name w:val="Balloon Text"/>
    <w:basedOn w:val="1"/>
    <w:link w:val="28"/>
    <w:qFormat/>
    <w:uiPriority w:val="0"/>
    <w:rPr>
      <w:sz w:val="18"/>
      <w:szCs w:val="18"/>
    </w:rPr>
  </w:style>
  <w:style w:type="paragraph" w:styleId="7">
    <w:name w:val="footer"/>
    <w:basedOn w:val="1"/>
    <w:link w:val="25"/>
    <w:qFormat/>
    <w:uiPriority w:val="0"/>
    <w:pPr>
      <w:tabs>
        <w:tab w:val="center" w:pos="4153"/>
        <w:tab w:val="right" w:pos="8306"/>
      </w:tabs>
      <w:snapToGrid w:val="0"/>
      <w:jc w:val="left"/>
    </w:pPr>
    <w:rPr>
      <w:sz w:val="18"/>
      <w:szCs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link w:val="29"/>
    <w:qFormat/>
    <w:uiPriority w:val="99"/>
    <w:pPr>
      <w:spacing w:before="240" w:after="60"/>
      <w:jc w:val="center"/>
      <w:outlineLvl w:val="0"/>
    </w:pPr>
    <w:rPr>
      <w:rFonts w:ascii="Calibri Light" w:hAnsi="Calibri Light"/>
      <w:b/>
      <w:bCs/>
      <w:sz w:val="32"/>
      <w:szCs w:val="32"/>
    </w:rPr>
  </w:style>
  <w:style w:type="paragraph" w:styleId="13">
    <w:name w:val="Body Text First Indent 2"/>
    <w:basedOn w:val="5"/>
    <w:qFormat/>
    <w:uiPriority w:val="0"/>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page number"/>
    <w:basedOn w:val="16"/>
    <w:qFormat/>
    <w:uiPriority w:val="0"/>
    <w:rPr>
      <w:rFonts w:ascii="Calibri" w:hAnsi="Calibri" w:eastAsia="宋体" w:cs="Times New Roman"/>
    </w:rPr>
  </w:style>
  <w:style w:type="character" w:styleId="19">
    <w:name w:val="Emphasis"/>
    <w:basedOn w:val="16"/>
    <w:qFormat/>
    <w:uiPriority w:val="0"/>
    <w:rPr>
      <w:rFonts w:ascii="Times New Roman" w:hAnsi="Times New Roman" w:eastAsia="宋体" w:cs="Times New Roman"/>
      <w:i/>
    </w:rPr>
  </w:style>
  <w:style w:type="character" w:styleId="20">
    <w:name w:val="Hyperlink"/>
    <w:basedOn w:val="16"/>
    <w:qFormat/>
    <w:uiPriority w:val="0"/>
    <w:rPr>
      <w:rFonts w:ascii="Times New Roman" w:hAnsi="Times New Roman" w:eastAsia="宋体" w:cs="Times New Roman"/>
      <w:color w:val="0000FF"/>
      <w:u w:val="single"/>
    </w:rPr>
  </w:style>
  <w:style w:type="character" w:customStyle="1" w:styleId="21">
    <w:name w:val="标题 1 字符"/>
    <w:link w:val="2"/>
    <w:qFormat/>
    <w:uiPriority w:val="99"/>
    <w:rPr>
      <w:rFonts w:ascii="Times New Roman" w:hAnsi="Times New Roman" w:eastAsia="黑体" w:cs="Times New Roman"/>
      <w:kern w:val="44"/>
      <w:sz w:val="24"/>
      <w:szCs w:val="24"/>
    </w:rPr>
  </w:style>
  <w:style w:type="character" w:customStyle="1" w:styleId="22">
    <w:name w:val="页眉 字符"/>
    <w:basedOn w:val="16"/>
    <w:link w:val="8"/>
    <w:semiHidden/>
    <w:qFormat/>
    <w:uiPriority w:val="99"/>
    <w:rPr>
      <w:sz w:val="18"/>
      <w:szCs w:val="18"/>
    </w:rPr>
  </w:style>
  <w:style w:type="character" w:customStyle="1" w:styleId="23">
    <w:name w:val="页脚 字符"/>
    <w:basedOn w:val="16"/>
    <w:link w:val="7"/>
    <w:semiHidden/>
    <w:qFormat/>
    <w:uiPriority w:val="99"/>
    <w:rPr>
      <w:sz w:val="18"/>
      <w:szCs w:val="18"/>
    </w:rPr>
  </w:style>
  <w:style w:type="character" w:customStyle="1" w:styleId="24">
    <w:name w:val="页眉 Char"/>
    <w:basedOn w:val="16"/>
    <w:link w:val="8"/>
    <w:semiHidden/>
    <w:qFormat/>
    <w:uiPriority w:val="99"/>
    <w:rPr>
      <w:rFonts w:asciiTheme="minorHAnsi" w:hAnsiTheme="minorHAnsi" w:eastAsiaTheme="minorEastAsia" w:cstheme="minorBidi"/>
      <w:kern w:val="2"/>
      <w:sz w:val="18"/>
      <w:szCs w:val="18"/>
      <w:lang w:val="en-US" w:eastAsia="zh-CN" w:bidi="ar-SA"/>
    </w:rPr>
  </w:style>
  <w:style w:type="character" w:customStyle="1" w:styleId="25">
    <w:name w:val="页脚 Char"/>
    <w:basedOn w:val="16"/>
    <w:link w:val="7"/>
    <w:semiHidden/>
    <w:qFormat/>
    <w:uiPriority w:val="99"/>
    <w:rPr>
      <w:rFonts w:asciiTheme="minorHAnsi" w:hAnsiTheme="minorHAnsi" w:eastAsiaTheme="minorEastAsia" w:cstheme="minorBidi"/>
      <w:kern w:val="2"/>
      <w:sz w:val="18"/>
      <w:szCs w:val="18"/>
      <w:lang w:val="en-US" w:eastAsia="zh-CN" w:bidi="ar-SA"/>
    </w:rPr>
  </w:style>
  <w:style w:type="character" w:customStyle="1" w:styleId="26">
    <w:name w:val="标题 1 Char"/>
    <w:basedOn w:val="16"/>
    <w:link w:val="2"/>
    <w:qFormat/>
    <w:uiPriority w:val="99"/>
    <w:rPr>
      <w:rFonts w:ascii="Times New Roman" w:hAnsi="Times New Roman" w:eastAsia="黑体" w:cstheme="minorBidi"/>
      <w:kern w:val="44"/>
      <w:sz w:val="24"/>
      <w:szCs w:val="24"/>
      <w:lang w:val="en-US" w:eastAsia="zh-CN" w:bidi="ar-SA"/>
    </w:rPr>
  </w:style>
  <w:style w:type="character" w:customStyle="1" w:styleId="27">
    <w:name w:val="Body text (2)"/>
    <w:basedOn w:val="16"/>
    <w:qFormat/>
    <w:uiPriority w:val="0"/>
    <w:rPr>
      <w:rFonts w:hint="eastAsia" w:ascii="MingLiU" w:hAnsi="MingLiU" w:eastAsia="MingLiU" w:cs="MingLiU"/>
      <w:color w:val="000000"/>
      <w:spacing w:val="0"/>
      <w:w w:val="100"/>
      <w:kern w:val="2"/>
      <w:position w:val="0"/>
      <w:sz w:val="22"/>
      <w:szCs w:val="22"/>
      <w:u w:val="none"/>
      <w:lang w:val="zh-TW" w:eastAsia="zh-TW" w:bidi="zh-TW"/>
    </w:rPr>
  </w:style>
  <w:style w:type="character" w:customStyle="1" w:styleId="28">
    <w:name w:val="批注框文本 Char"/>
    <w:basedOn w:val="16"/>
    <w:link w:val="6"/>
    <w:semiHidden/>
    <w:qFormat/>
    <w:uiPriority w:val="99"/>
    <w:rPr>
      <w:rFonts w:asciiTheme="minorHAnsi" w:hAnsiTheme="minorHAnsi" w:eastAsiaTheme="minorEastAsia" w:cstheme="minorBidi"/>
      <w:kern w:val="2"/>
      <w:sz w:val="18"/>
      <w:szCs w:val="18"/>
      <w:lang w:val="en-US" w:eastAsia="zh-CN" w:bidi="ar-SA"/>
    </w:rPr>
  </w:style>
  <w:style w:type="character" w:customStyle="1" w:styleId="29">
    <w:name w:val="标题 Char"/>
    <w:basedOn w:val="16"/>
    <w:link w:val="12"/>
    <w:qFormat/>
    <w:uiPriority w:val="10"/>
    <w:rPr>
      <w:rFonts w:ascii="Calibri Light" w:hAnsi="Calibri Light" w:eastAsiaTheme="minorEastAsia" w:cstheme="minorBidi"/>
      <w:b/>
      <w:bCs/>
      <w:kern w:val="2"/>
      <w:sz w:val="32"/>
      <w:szCs w:val="32"/>
      <w:lang w:val="en-US" w:eastAsia="zh-CN" w:bidi="ar-SA"/>
    </w:rPr>
  </w:style>
  <w:style w:type="paragraph" w:styleId="30">
    <w:name w:val="List Paragraph"/>
    <w:basedOn w:val="1"/>
    <w:semiHidden/>
    <w:unhideWhenUsed/>
    <w:qFormat/>
    <w:uiPriority w:val="99"/>
    <w:pPr>
      <w:spacing w:before="2"/>
      <w:ind w:left="960" w:firstLine="640"/>
    </w:pPr>
    <w:rPr>
      <w:szCs w:val="24"/>
    </w:rPr>
  </w:style>
  <w:style w:type="paragraph" w:customStyle="1" w:styleId="31">
    <w:name w:val="Body text|1"/>
    <w:basedOn w:val="1"/>
    <w:qFormat/>
    <w:uiPriority w:val="0"/>
    <w:pPr>
      <w:spacing w:after="100" w:line="437" w:lineRule="auto"/>
      <w:ind w:firstLine="400"/>
    </w:pPr>
    <w:rPr>
      <w:rFonts w:ascii="宋体" w:hAnsi="宋体" w:eastAsia="宋体" w:cs="宋体"/>
      <w:sz w:val="28"/>
      <w:szCs w:val="28"/>
      <w:lang w:val="zh-TW" w:eastAsia="zh-TW" w:bidi="zh-TW"/>
    </w:rPr>
  </w:style>
  <w:style w:type="paragraph" w:customStyle="1" w:styleId="32">
    <w:name w:val="Other|1"/>
    <w:basedOn w:val="1"/>
    <w:qFormat/>
    <w:uiPriority w:val="0"/>
    <w:pPr>
      <w:spacing w:after="100" w:line="437" w:lineRule="auto"/>
      <w:ind w:firstLine="400"/>
    </w:pPr>
    <w:rPr>
      <w:rFonts w:ascii="宋体" w:hAnsi="宋体" w:eastAsia="宋体" w:cs="宋体"/>
      <w:sz w:val="28"/>
      <w:szCs w:val="28"/>
      <w:lang w:val="zh-TW" w:eastAsia="zh-TW" w:bidi="zh-TW"/>
    </w:rPr>
  </w:style>
  <w:style w:type="paragraph" w:customStyle="1" w:styleId="33">
    <w:name w:val="Body text|2"/>
    <w:basedOn w:val="1"/>
    <w:qFormat/>
    <w:uiPriority w:val="0"/>
    <w:pPr>
      <w:spacing w:after="240" w:line="369" w:lineRule="exact"/>
      <w:ind w:left="240" w:firstLine="460"/>
    </w:pPr>
    <w:rPr>
      <w:rFonts w:ascii="宋体" w:hAnsi="宋体" w:eastAsia="宋体" w:cs="宋体"/>
      <w:sz w:val="20"/>
      <w:szCs w:val="20"/>
      <w:lang w:val="zh-TW" w:eastAsia="zh-TW" w:bidi="zh-TW"/>
    </w:rPr>
  </w:style>
  <w:style w:type="paragraph" w:customStyle="1" w:styleId="34">
    <w:name w:val="Body text|4"/>
    <w:basedOn w:val="1"/>
    <w:qFormat/>
    <w:uiPriority w:val="0"/>
    <w:pPr>
      <w:spacing w:after="460"/>
      <w:jc w:val="center"/>
    </w:pPr>
    <w:rPr>
      <w:b/>
      <w:bCs/>
      <w:color w:val="404F55"/>
      <w:sz w:val="28"/>
      <w:szCs w:val="28"/>
    </w:rPr>
  </w:style>
  <w:style w:type="paragraph" w:customStyle="1" w:styleId="35">
    <w:name w:val="Body text|3"/>
    <w:basedOn w:val="1"/>
    <w:qFormat/>
    <w:uiPriority w:val="0"/>
    <w:pPr>
      <w:spacing w:after="160"/>
      <w:ind w:firstLine="700"/>
    </w:pPr>
    <w:rPr>
      <w:rFonts w:ascii="宋体" w:hAnsi="宋体" w:eastAsia="宋体" w:cs="宋体"/>
      <w:lang w:val="zh-TW" w:eastAsia="zh-TW" w:bidi="zh-TW"/>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table" w:customStyle="1" w:styleId="39">
    <w:name w:val="Table Normal"/>
    <w:semiHidden/>
    <w:unhideWhenUsed/>
    <w:qFormat/>
    <w:uiPriority w:val="0"/>
    <w:tblPr>
      <w:tblCellMar>
        <w:top w:w="0" w:type="dxa"/>
        <w:left w:w="0" w:type="dxa"/>
        <w:bottom w:w="0" w:type="dxa"/>
        <w:right w:w="0" w:type="dxa"/>
      </w:tblCellMar>
    </w:tblPr>
  </w:style>
  <w:style w:type="paragraph" w:customStyle="1" w:styleId="4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9.wmf"/><Relationship Id="rId24" Type="http://schemas.openxmlformats.org/officeDocument/2006/relationships/oleObject" Target="embeddings/oleObject8.bin"/><Relationship Id="rId23" Type="http://schemas.openxmlformats.org/officeDocument/2006/relationships/image" Target="media/image8.wmf"/><Relationship Id="rId22" Type="http://schemas.openxmlformats.org/officeDocument/2006/relationships/oleObject" Target="embeddings/oleObject7.bin"/><Relationship Id="rId21" Type="http://schemas.openxmlformats.org/officeDocument/2006/relationships/image" Target="media/image7.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5.bin"/><Relationship Id="rId17" Type="http://schemas.openxmlformats.org/officeDocument/2006/relationships/image" Target="media/image5.wmf"/><Relationship Id="rId16" Type="http://schemas.openxmlformats.org/officeDocument/2006/relationships/oleObject" Target="embeddings/oleObject4.bin"/><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wmf"/><Relationship Id="rId12" Type="http://schemas.openxmlformats.org/officeDocument/2006/relationships/oleObject" Target="embeddings/oleObject2.bin"/><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89</Pages>
  <Words>49014</Words>
  <Characters>49581</Characters>
  <Lines>10</Lines>
  <Paragraphs>2</Paragraphs>
  <TotalTime>9</TotalTime>
  <ScaleCrop>false</ScaleCrop>
  <LinksUpToDate>false</LinksUpToDate>
  <CharactersWithSpaces>52658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2024-03-01T07:25:00Z</dcterms:created>
  <dc:creator>91679</dc:creator>
  <cp:lastModifiedBy>Administrator</cp:lastModifiedBy>
  <cp:lastPrinted>2025-05-12T00:44:00Z</cp:lastPrinted>
  <dcterms:modified xsi:type="dcterms:W3CDTF">2025-05-13T00:22:27Z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071388ED22C140058F9A565C79523488_13</vt:lpwstr>
  </property>
  <property fmtid="{D5CDD505-2E9C-101B-9397-08002B2CF9AE}" pid="4" name="KSOTemplateDocerSaveRecord">
    <vt:lpwstr>eyJoZGlkIjoiNmEwMjdhZmYyYzM0ZTkxNjViY2I1ZTc1MWM3ZjUwYmMiLCJ1c2VySWQiOiI0NTYxOTU3ODkifQ==</vt:lpwstr>
  </property>
</Properties>
</file>