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media/image3.svg" ContentType="image/svg+xml"/>
  <Override PartName="/word/media/image5.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F6DC19">
      <w:pPr>
        <w:pStyle w:val="8"/>
        <w:pageBreakBefore w:val="0"/>
        <w:kinsoku/>
        <w:wordWrap/>
        <w:overflowPunct/>
        <w:bidi w:val="0"/>
        <w:spacing w:line="317" w:lineRule="auto"/>
        <w:rPr>
          <w:rFonts w:hint="default" w:ascii="Times New Roman" w:hAnsi="Times New Roman" w:eastAsia="仿宋" w:cs="Times New Roman"/>
          <w:color w:val="auto"/>
          <w:sz w:val="20"/>
          <w:lang w:val="en-US" w:eastAsia="zh-CN"/>
        </w:rPr>
      </w:pPr>
      <w:bookmarkStart w:id="0" w:name="_Hlk128051420"/>
      <w:r>
        <w:rPr>
          <w:rFonts w:hint="eastAsia" w:cs="Times New Roman"/>
          <w:color w:val="auto"/>
          <w:sz w:val="20"/>
          <w:lang w:val="en-US" w:eastAsia="zh-CN"/>
        </w:rPr>
        <w:fldChar w:fldCharType="begin" w:fldLock="1"/>
      </w:r>
      <w:r>
        <w:rPr>
          <w:rFonts w:hint="eastAsia" w:cs="Times New Roman"/>
          <w:color w:val="auto"/>
          <w:sz w:val="20"/>
          <w:lang w:val="en-US" w:eastAsia="zh-CN"/>
        </w:rPr>
        <w:instrText xml:space="preserve">  </w:instrText>
      </w:r>
      <w:r>
        <w:rPr>
          <w:rFonts w:hint="eastAsia" w:cs="Times New Roman"/>
          <w:color w:val="auto"/>
          <w:sz w:val="20"/>
          <w:lang w:val="en-US" w:eastAsia="zh-CN"/>
        </w:rPr>
        <w:fldChar w:fldCharType="end"/>
      </w:r>
      <w:r>
        <w:rPr>
          <w:rFonts w:hint="eastAsia" w:cs="Times New Roman"/>
          <w:color w:val="auto"/>
          <w:sz w:val="20"/>
          <w:lang w:val="en-US" w:eastAsia="zh-CN"/>
        </w:rPr>
        <w:t>/-**+</w:t>
      </w:r>
    </w:p>
    <w:p w14:paraId="034346F1">
      <w:pPr>
        <w:pStyle w:val="8"/>
        <w:pageBreakBefore w:val="0"/>
        <w:kinsoku/>
        <w:wordWrap/>
        <w:overflowPunct/>
        <w:bidi w:val="0"/>
        <w:spacing w:before="4" w:line="317" w:lineRule="auto"/>
        <w:ind w:left="0" w:leftChars="0" w:firstLine="0" w:firstLineChars="0"/>
        <w:rPr>
          <w:rFonts w:ascii="Times New Roman" w:hAnsi="Times New Roman" w:cs="Times New Roman"/>
          <w:color w:val="auto"/>
          <w:sz w:val="24"/>
        </w:rPr>
      </w:pPr>
      <w:r>
        <w:rPr>
          <w:color w:val="auto"/>
        </w:rPr>
        <w:drawing>
          <wp:inline distT="0" distB="0" distL="114300" distR="114300">
            <wp:extent cx="2216150" cy="529590"/>
            <wp:effectExtent l="0" t="0" r="8890" b="3810"/>
            <wp:docPr id="1" name="图片 1" descr="学校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校标识"/>
                    <pic:cNvPicPr>
                      <a:picLocks noChangeAspect="1"/>
                    </pic:cNvPicPr>
                  </pic:nvPicPr>
                  <pic:blipFill>
                    <a:blip r:embed="rId9"/>
                    <a:stretch>
                      <a:fillRect/>
                    </a:stretch>
                  </pic:blipFill>
                  <pic:spPr>
                    <a:xfrm>
                      <a:off x="0" y="0"/>
                      <a:ext cx="2216150" cy="529590"/>
                    </a:xfrm>
                    <a:prstGeom prst="rect">
                      <a:avLst/>
                    </a:prstGeom>
                    <a:noFill/>
                    <a:ln>
                      <a:noFill/>
                    </a:ln>
                  </pic:spPr>
                </pic:pic>
              </a:graphicData>
            </a:graphic>
          </wp:inline>
        </w:drawing>
      </w:r>
    </w:p>
    <w:p w14:paraId="06E6CAD1">
      <w:pPr>
        <w:pStyle w:val="2"/>
        <w:pageBreakBefore w:val="0"/>
        <w:kinsoku/>
        <w:wordWrap/>
        <w:overflowPunct/>
        <w:bidi w:val="0"/>
        <w:spacing w:line="317" w:lineRule="auto"/>
        <w:ind w:left="0" w:leftChars="0"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   </w:t>
      </w:r>
    </w:p>
    <w:p w14:paraId="7E497C96">
      <w:pPr>
        <w:rPr>
          <w:rFonts w:hint="eastAsia" w:ascii="Times New Roman" w:hAnsi="Times New Roman" w:cs="Times New Roman"/>
          <w:color w:val="auto"/>
          <w:lang w:val="en-US" w:eastAsia="zh-CN"/>
        </w:rPr>
      </w:pPr>
    </w:p>
    <w:p w14:paraId="3A612AE5">
      <w:pPr>
        <w:rPr>
          <w:rFonts w:hint="eastAsia" w:ascii="Times New Roman" w:hAnsi="Times New Roman" w:cs="Times New Roman"/>
          <w:color w:val="auto"/>
          <w:lang w:val="en-US" w:eastAsia="zh-CN"/>
        </w:rPr>
      </w:pPr>
    </w:p>
    <w:p w14:paraId="51AF2B81">
      <w:pPr>
        <w:pStyle w:val="2"/>
        <w:pageBreakBefore w:val="0"/>
        <w:kinsoku/>
        <w:wordWrap/>
        <w:overflowPunct/>
        <w:bidi w:val="0"/>
        <w:spacing w:line="317" w:lineRule="auto"/>
        <w:ind w:left="0" w:leftChars="0" w:right="30" w:rightChars="0" w:firstLine="0" w:firstLineChars="0"/>
        <w:jc w:val="center"/>
        <w:rPr>
          <w:rFonts w:ascii="Times New Roman" w:hAnsi="Times New Roman" w:cs="Times New Roman"/>
          <w:b/>
          <w:color w:val="auto"/>
          <w:spacing w:val="20"/>
          <w:sz w:val="48"/>
          <w:szCs w:val="48"/>
        </w:rPr>
      </w:pPr>
      <w:bookmarkStart w:id="1" w:name="_Toc32696"/>
      <w:bookmarkStart w:id="2" w:name="_Toc31269"/>
      <w:r>
        <w:rPr>
          <w:rFonts w:hint="eastAsia" w:ascii="Times New Roman" w:hAnsi="Times New Roman" w:cs="Times New Roman"/>
          <w:b/>
          <w:color w:val="auto"/>
          <w:spacing w:val="20"/>
          <w:sz w:val="48"/>
          <w:szCs w:val="48"/>
          <w:lang w:val="en-US" w:eastAsia="zh-CN"/>
        </w:rPr>
        <w:t>2022-2025学年</w:t>
      </w:r>
      <w:r>
        <w:rPr>
          <w:rFonts w:ascii="Times New Roman" w:hAnsi="Times New Roman" w:cs="Times New Roman"/>
          <w:b/>
          <w:color w:val="auto"/>
          <w:spacing w:val="20"/>
          <w:sz w:val="48"/>
          <w:szCs w:val="48"/>
        </w:rPr>
        <w:t>教学</w:t>
      </w:r>
      <w:r>
        <w:rPr>
          <w:rFonts w:hint="eastAsia" w:ascii="Times New Roman" w:hAnsi="Times New Roman" w:cs="Times New Roman"/>
          <w:b/>
          <w:color w:val="auto"/>
          <w:spacing w:val="20"/>
          <w:sz w:val="48"/>
          <w:szCs w:val="48"/>
          <w:lang w:eastAsia="zh-CN"/>
        </w:rPr>
        <w:t>工作考</w:t>
      </w:r>
      <w:r>
        <w:rPr>
          <w:rFonts w:ascii="Times New Roman" w:hAnsi="Times New Roman" w:cs="Times New Roman"/>
          <w:b/>
          <w:color w:val="auto"/>
          <w:spacing w:val="20"/>
          <w:sz w:val="48"/>
          <w:szCs w:val="48"/>
        </w:rPr>
        <w:t>核评估</w:t>
      </w:r>
      <w:bookmarkEnd w:id="1"/>
      <w:bookmarkEnd w:id="2"/>
    </w:p>
    <w:p w14:paraId="0E993482">
      <w:pPr>
        <w:pStyle w:val="2"/>
        <w:pageBreakBefore w:val="0"/>
        <w:kinsoku/>
        <w:wordWrap/>
        <w:overflowPunct/>
        <w:bidi w:val="0"/>
        <w:spacing w:line="317" w:lineRule="auto"/>
        <w:ind w:left="0" w:leftChars="0" w:right="30" w:rightChars="0" w:firstLine="0" w:firstLineChars="0"/>
        <w:jc w:val="center"/>
        <w:rPr>
          <w:rFonts w:ascii="Times New Roman" w:hAnsi="Times New Roman" w:eastAsia="微软雅黑" w:cs="Times New Roman"/>
          <w:b/>
          <w:color w:val="auto"/>
          <w:spacing w:val="20"/>
          <w:sz w:val="48"/>
          <w:szCs w:val="48"/>
        </w:rPr>
      </w:pPr>
      <w:bookmarkStart w:id="3" w:name="_Toc19670"/>
      <w:bookmarkStart w:id="4" w:name="_Toc12627"/>
      <w:r>
        <w:rPr>
          <w:rFonts w:hint="eastAsia" w:ascii="Times New Roman" w:hAnsi="Times New Roman" w:eastAsia="微软雅黑" w:cs="Times New Roman"/>
          <w:b/>
          <w:color w:val="auto"/>
          <w:spacing w:val="20"/>
          <w:sz w:val="48"/>
          <w:szCs w:val="48"/>
          <w:lang w:val="en-US" w:eastAsia="zh-CN"/>
        </w:rPr>
        <w:t>体育</w:t>
      </w:r>
      <w:r>
        <w:rPr>
          <w:rFonts w:hint="eastAsia" w:ascii="Times New Roman" w:hAnsi="Times New Roman" w:eastAsia="微软雅黑" w:cs="Times New Roman"/>
          <w:b/>
          <w:color w:val="auto"/>
          <w:spacing w:val="20"/>
          <w:sz w:val="48"/>
          <w:szCs w:val="48"/>
          <w:lang w:eastAsia="zh-CN"/>
        </w:rPr>
        <w:t>部</w:t>
      </w:r>
      <w:r>
        <w:rPr>
          <w:rFonts w:ascii="Times New Roman" w:hAnsi="Times New Roman" w:eastAsia="微软雅黑" w:cs="Times New Roman"/>
          <w:b/>
          <w:color w:val="auto"/>
          <w:spacing w:val="20"/>
          <w:sz w:val="48"/>
          <w:szCs w:val="48"/>
        </w:rPr>
        <w:t>自评报告</w:t>
      </w:r>
      <w:bookmarkEnd w:id="3"/>
      <w:bookmarkEnd w:id="4"/>
    </w:p>
    <w:p w14:paraId="2A13577D">
      <w:pPr>
        <w:pStyle w:val="8"/>
        <w:pageBreakBefore w:val="0"/>
        <w:kinsoku/>
        <w:wordWrap/>
        <w:overflowPunct/>
        <w:bidi w:val="0"/>
        <w:spacing w:line="317" w:lineRule="auto"/>
        <w:ind w:left="0"/>
        <w:outlineLvl w:val="9"/>
        <w:rPr>
          <w:rFonts w:ascii="Times New Roman" w:hAnsi="Times New Roman" w:cs="Times New Roman"/>
          <w:b/>
          <w:color w:val="auto"/>
          <w:sz w:val="32"/>
        </w:rPr>
      </w:pPr>
    </w:p>
    <w:p w14:paraId="1A2AB00E">
      <w:pPr>
        <w:pStyle w:val="8"/>
        <w:pageBreakBefore w:val="0"/>
        <w:kinsoku/>
        <w:wordWrap/>
        <w:overflowPunct/>
        <w:bidi w:val="0"/>
        <w:spacing w:line="317" w:lineRule="auto"/>
        <w:ind w:left="0"/>
        <w:rPr>
          <w:rFonts w:ascii="Times New Roman" w:hAnsi="Times New Roman" w:cs="Times New Roman"/>
          <w:b/>
          <w:color w:val="auto"/>
          <w:sz w:val="32"/>
        </w:rPr>
      </w:pPr>
    </w:p>
    <w:p w14:paraId="1C05EAFF">
      <w:pPr>
        <w:pStyle w:val="8"/>
        <w:pageBreakBefore w:val="0"/>
        <w:kinsoku/>
        <w:wordWrap/>
        <w:overflowPunct/>
        <w:bidi w:val="0"/>
        <w:spacing w:before="8" w:line="317" w:lineRule="auto"/>
        <w:ind w:left="0"/>
        <w:rPr>
          <w:rFonts w:ascii="Times New Roman" w:hAnsi="Times New Roman" w:cs="Times New Roman"/>
          <w:b/>
          <w:color w:val="auto"/>
          <w:sz w:val="47"/>
        </w:rPr>
      </w:pPr>
    </w:p>
    <w:p w14:paraId="48E81039">
      <w:pPr>
        <w:pageBreakBefore w:val="0"/>
        <w:kinsoku/>
        <w:wordWrap/>
        <w:overflowPunct/>
        <w:bidi w:val="0"/>
        <w:spacing w:line="317" w:lineRule="auto"/>
        <w:ind w:firstLine="1120" w:firstLineChars="400"/>
        <w:outlineLvl w:val="9"/>
        <w:rPr>
          <w:rFonts w:ascii="Times New Roman" w:hAnsi="Times New Roman" w:cs="Times New Roman"/>
          <w:color w:val="auto"/>
        </w:rPr>
      </w:pPr>
    </w:p>
    <w:p w14:paraId="782CA9C4">
      <w:pPr>
        <w:pStyle w:val="8"/>
        <w:pageBreakBefore w:val="0"/>
        <w:kinsoku/>
        <w:wordWrap/>
        <w:overflowPunct/>
        <w:bidi w:val="0"/>
        <w:spacing w:line="317" w:lineRule="auto"/>
        <w:ind w:left="0"/>
        <w:rPr>
          <w:rFonts w:ascii="Times New Roman" w:hAnsi="Times New Roman" w:cs="Times New Roman"/>
          <w:color w:val="auto"/>
          <w:sz w:val="32"/>
        </w:rPr>
      </w:pPr>
    </w:p>
    <w:p w14:paraId="5CC033EC">
      <w:pPr>
        <w:pStyle w:val="8"/>
        <w:pageBreakBefore w:val="0"/>
        <w:kinsoku/>
        <w:wordWrap/>
        <w:overflowPunct/>
        <w:bidi w:val="0"/>
        <w:spacing w:line="317" w:lineRule="auto"/>
        <w:ind w:left="0"/>
        <w:rPr>
          <w:rFonts w:ascii="Times New Roman" w:hAnsi="Times New Roman" w:cs="Times New Roman"/>
          <w:color w:val="auto"/>
          <w:sz w:val="32"/>
        </w:rPr>
      </w:pPr>
    </w:p>
    <w:p w14:paraId="3947E1E7">
      <w:pPr>
        <w:pStyle w:val="8"/>
        <w:pageBreakBefore w:val="0"/>
        <w:kinsoku/>
        <w:wordWrap/>
        <w:overflowPunct/>
        <w:bidi w:val="0"/>
        <w:spacing w:line="317" w:lineRule="auto"/>
        <w:ind w:left="0"/>
        <w:rPr>
          <w:rFonts w:ascii="Times New Roman" w:hAnsi="Times New Roman" w:cs="Times New Roman"/>
          <w:color w:val="auto"/>
          <w:sz w:val="32"/>
        </w:rPr>
      </w:pPr>
    </w:p>
    <w:p w14:paraId="0FB4A410">
      <w:pPr>
        <w:pStyle w:val="8"/>
        <w:pageBreakBefore w:val="0"/>
        <w:kinsoku/>
        <w:wordWrap/>
        <w:overflowPunct/>
        <w:bidi w:val="0"/>
        <w:spacing w:before="5" w:line="317" w:lineRule="auto"/>
        <w:ind w:left="0"/>
        <w:rPr>
          <w:rFonts w:ascii="Times New Roman" w:hAnsi="Times New Roman" w:cs="Times New Roman"/>
          <w:color w:val="auto"/>
          <w:sz w:val="34"/>
        </w:rPr>
      </w:pPr>
    </w:p>
    <w:p w14:paraId="21C88551">
      <w:pPr>
        <w:keepNext w:val="0"/>
        <w:keepLines w:val="0"/>
        <w:pageBreakBefore w:val="0"/>
        <w:widowControl w:val="0"/>
        <w:kinsoku/>
        <w:wordWrap/>
        <w:overflowPunct/>
        <w:topLinePunct w:val="0"/>
        <w:autoSpaceDE w:val="0"/>
        <w:autoSpaceDN w:val="0"/>
        <w:bidi w:val="0"/>
        <w:adjustRightInd/>
        <w:snapToGrid/>
        <w:spacing w:line="317" w:lineRule="auto"/>
        <w:ind w:left="1680" w:leftChars="600" w:right="0" w:rightChars="0"/>
        <w:textAlignment w:val="auto"/>
        <w:rPr>
          <w:rFonts w:ascii="Times New Roman" w:hAnsi="Times New Roman" w:eastAsia="黑体" w:cs="Times New Roman"/>
          <w:color w:val="auto"/>
          <w:sz w:val="32"/>
        </w:rPr>
      </w:pPr>
      <w:r>
        <w:rPr>
          <w:rFonts w:ascii="Times New Roman" w:hAnsi="Times New Roman" w:eastAsia="黑体" w:cs="Times New Roman"/>
          <w:color w:val="auto"/>
          <w:sz w:val="32"/>
        </w:rPr>
        <w:t>学院名称（公章）：</w:t>
      </w:r>
      <w:r>
        <w:rPr>
          <w:rFonts w:hint="eastAsia" w:eastAsia="黑体" w:cs="Times New Roman"/>
          <w:color w:val="auto"/>
          <w:sz w:val="32"/>
          <w:lang w:val="en-US" w:eastAsia="zh-CN"/>
        </w:rPr>
        <w:t>体育部</w:t>
      </w:r>
      <w:r>
        <w:rPr>
          <w:rFonts w:hint="eastAsia" w:ascii="Times New Roman" w:hAnsi="Times New Roman" w:eastAsia="黑体" w:cs="Times New Roman"/>
          <w:color w:val="auto"/>
          <w:sz w:val="32"/>
          <w:lang w:val="en-US" w:eastAsia="zh-CN"/>
        </w:rPr>
        <w:t xml:space="preserve"> </w:t>
      </w:r>
      <w:r>
        <w:rPr>
          <w:rFonts w:ascii="Times New Roman" w:hAnsi="Times New Roman" w:eastAsia="黑体" w:cs="Times New Roman"/>
          <w:color w:val="auto"/>
          <w:sz w:val="32"/>
        </w:rPr>
        <w:t xml:space="preserve"> </w:t>
      </w:r>
    </w:p>
    <w:p w14:paraId="3F4FCBCB">
      <w:pPr>
        <w:keepNext w:val="0"/>
        <w:keepLines w:val="0"/>
        <w:pageBreakBefore w:val="0"/>
        <w:widowControl w:val="0"/>
        <w:kinsoku/>
        <w:wordWrap/>
        <w:overflowPunct/>
        <w:topLinePunct w:val="0"/>
        <w:autoSpaceDE w:val="0"/>
        <w:autoSpaceDN w:val="0"/>
        <w:bidi w:val="0"/>
        <w:adjustRightInd/>
        <w:snapToGrid/>
        <w:spacing w:line="317" w:lineRule="auto"/>
        <w:ind w:left="1680" w:leftChars="600" w:right="0" w:rightChars="0"/>
        <w:textAlignment w:val="auto"/>
        <w:rPr>
          <w:rFonts w:hint="default" w:ascii="Times New Roman" w:hAnsi="Times New Roman" w:eastAsia="黑体" w:cs="Times New Roman"/>
          <w:color w:val="auto"/>
          <w:sz w:val="32"/>
          <w:lang w:val="en-US" w:eastAsia="zh-CN"/>
        </w:rPr>
      </w:pPr>
      <w:r>
        <w:rPr>
          <w:rFonts w:ascii="Times New Roman" w:hAnsi="Times New Roman" w:eastAsia="黑体" w:cs="Times New Roman"/>
          <w:color w:val="auto"/>
          <w:sz w:val="32"/>
        </w:rPr>
        <w:t>学院联系人</w:t>
      </w:r>
      <w:r>
        <w:rPr>
          <w:rFonts w:hint="eastAsia" w:ascii="Times New Roman" w:hAnsi="Times New Roman" w:eastAsia="黑体" w:cs="Times New Roman"/>
          <w:color w:val="auto"/>
          <w:sz w:val="32"/>
          <w:lang w:eastAsia="zh-CN"/>
        </w:rPr>
        <w:t>：</w:t>
      </w:r>
      <w:r>
        <w:rPr>
          <w:rFonts w:hint="eastAsia" w:eastAsia="黑体" w:cs="Times New Roman"/>
          <w:color w:val="auto"/>
          <w:sz w:val="32"/>
          <w:lang w:val="en-US" w:eastAsia="zh-CN"/>
        </w:rPr>
        <w:t>王庆云</w:t>
      </w:r>
    </w:p>
    <w:p w14:paraId="4637A749">
      <w:pPr>
        <w:keepNext w:val="0"/>
        <w:keepLines w:val="0"/>
        <w:pageBreakBefore w:val="0"/>
        <w:widowControl w:val="0"/>
        <w:kinsoku/>
        <w:wordWrap/>
        <w:overflowPunct/>
        <w:topLinePunct w:val="0"/>
        <w:autoSpaceDE w:val="0"/>
        <w:autoSpaceDN w:val="0"/>
        <w:bidi w:val="0"/>
        <w:adjustRightInd/>
        <w:snapToGrid/>
        <w:spacing w:before="4" w:line="317" w:lineRule="auto"/>
        <w:ind w:left="1680" w:leftChars="600" w:right="0"/>
        <w:textAlignment w:val="auto"/>
        <w:rPr>
          <w:rFonts w:hint="default" w:ascii="Times New Roman" w:hAnsi="Times New Roman" w:eastAsia="黑体" w:cs="Times New Roman"/>
          <w:color w:val="auto"/>
          <w:sz w:val="32"/>
          <w:lang w:val="en-US" w:eastAsia="zh-CN"/>
        </w:rPr>
      </w:pPr>
      <w:r>
        <w:rPr>
          <w:rFonts w:ascii="Times New Roman" w:hAnsi="Times New Roman" w:eastAsia="黑体" w:cs="Times New Roman"/>
          <w:color w:val="auto"/>
          <w:spacing w:val="-4"/>
          <w:sz w:val="32"/>
        </w:rPr>
        <w:t xml:space="preserve">联系电话： </w:t>
      </w:r>
    </w:p>
    <w:p w14:paraId="1660162F">
      <w:pPr>
        <w:keepNext w:val="0"/>
        <w:keepLines w:val="0"/>
        <w:pageBreakBefore w:val="0"/>
        <w:widowControl w:val="0"/>
        <w:kinsoku/>
        <w:wordWrap/>
        <w:overflowPunct/>
        <w:topLinePunct w:val="0"/>
        <w:autoSpaceDE w:val="0"/>
        <w:autoSpaceDN w:val="0"/>
        <w:bidi w:val="0"/>
        <w:adjustRightInd/>
        <w:snapToGrid/>
        <w:spacing w:before="3" w:line="317" w:lineRule="auto"/>
        <w:ind w:left="1680" w:leftChars="600" w:right="0" w:rightChars="0"/>
        <w:textAlignment w:val="auto"/>
        <w:rPr>
          <w:rFonts w:ascii="Times New Roman" w:hAnsi="Times New Roman" w:eastAsia="黑体" w:cs="Times New Roman"/>
          <w:color w:val="auto"/>
          <w:spacing w:val="-6"/>
          <w:sz w:val="32"/>
        </w:rPr>
      </w:pPr>
      <w:r>
        <w:rPr>
          <w:rFonts w:ascii="Times New Roman" w:hAnsi="Times New Roman" w:eastAsia="黑体" w:cs="Times New Roman"/>
          <w:color w:val="auto"/>
          <w:sz w:val="32"/>
        </w:rPr>
        <w:t>学院院长（签字</w:t>
      </w:r>
      <w:r>
        <w:rPr>
          <w:rFonts w:ascii="Times New Roman" w:hAnsi="Times New Roman" w:eastAsia="黑体" w:cs="Times New Roman"/>
          <w:color w:val="auto"/>
          <w:spacing w:val="-6"/>
          <w:sz w:val="32"/>
        </w:rPr>
        <w:t xml:space="preserve">）： </w:t>
      </w:r>
    </w:p>
    <w:p w14:paraId="532406A6">
      <w:pPr>
        <w:keepNext w:val="0"/>
        <w:keepLines w:val="0"/>
        <w:pageBreakBefore w:val="0"/>
        <w:widowControl w:val="0"/>
        <w:kinsoku/>
        <w:wordWrap/>
        <w:overflowPunct/>
        <w:topLinePunct w:val="0"/>
        <w:autoSpaceDE w:val="0"/>
        <w:autoSpaceDN w:val="0"/>
        <w:bidi w:val="0"/>
        <w:adjustRightInd/>
        <w:snapToGrid/>
        <w:spacing w:before="3" w:line="317" w:lineRule="auto"/>
        <w:ind w:left="1680" w:leftChars="600" w:right="0" w:rightChars="0"/>
        <w:textAlignment w:val="auto"/>
        <w:rPr>
          <w:rFonts w:hint="default" w:ascii="Times New Roman" w:hAnsi="Times New Roman" w:eastAsia="黑体" w:cs="Times New Roman"/>
          <w:color w:val="auto"/>
          <w:sz w:val="32"/>
          <w:lang w:val="en-US" w:eastAsia="zh-CN"/>
        </w:rPr>
      </w:pPr>
      <w:r>
        <w:rPr>
          <w:rFonts w:hint="eastAsia" w:ascii="Times New Roman" w:hAnsi="Times New Roman" w:eastAsia="黑体" w:cs="Times New Roman"/>
          <w:color w:val="auto"/>
          <w:spacing w:val="-6"/>
          <w:sz w:val="32"/>
          <w:lang w:eastAsia="zh-CN"/>
        </w:rPr>
        <w:t>撰写</w:t>
      </w:r>
      <w:r>
        <w:rPr>
          <w:rFonts w:ascii="Times New Roman" w:hAnsi="Times New Roman" w:eastAsia="黑体" w:cs="Times New Roman"/>
          <w:color w:val="auto"/>
          <w:sz w:val="32"/>
        </w:rPr>
        <w:t>日期：</w:t>
      </w:r>
      <w:r>
        <w:rPr>
          <w:rFonts w:hint="eastAsia" w:eastAsia="黑体" w:cs="Times New Roman"/>
          <w:color w:val="auto"/>
          <w:sz w:val="32"/>
          <w:lang w:val="en-US" w:eastAsia="zh-CN"/>
        </w:rPr>
        <w:t>2025年3月10日</w:t>
      </w:r>
    </w:p>
    <w:p w14:paraId="19D8A2E5">
      <w:pPr>
        <w:pageBreakBefore w:val="0"/>
        <w:kinsoku/>
        <w:wordWrap/>
        <w:overflowPunct/>
        <w:bidi w:val="0"/>
        <w:spacing w:line="317" w:lineRule="auto"/>
        <w:ind w:left="0" w:leftChars="0" w:firstLine="1977" w:firstLineChars="618"/>
        <w:rPr>
          <w:rFonts w:ascii="Times New Roman" w:hAnsi="Times New Roman" w:eastAsia="黑体" w:cs="Times New Roman"/>
          <w:color w:val="auto"/>
          <w:sz w:val="32"/>
        </w:rPr>
        <w:sectPr>
          <w:footerReference r:id="rId5" w:type="default"/>
          <w:type w:val="continuous"/>
          <w:pgSz w:w="11910" w:h="16840"/>
          <w:pgMar w:top="1417" w:right="1531" w:bottom="1304" w:left="1531" w:header="0" w:footer="964" w:gutter="0"/>
          <w:pgNumType w:fmt="decimal" w:start="1"/>
          <w:cols w:space="0" w:num="1"/>
          <w:rtlGutter w:val="0"/>
          <w:docGrid w:linePitch="0" w:charSpace="0"/>
        </w:sectPr>
      </w:pPr>
    </w:p>
    <w:p w14:paraId="499CCDF5">
      <w:pPr>
        <w:pageBreakBefore w:val="0"/>
        <w:kinsoku/>
        <w:wordWrap/>
        <w:overflowPunct/>
        <w:bidi w:val="0"/>
        <w:spacing w:before="30" w:line="317" w:lineRule="auto"/>
        <w:ind w:left="0" w:leftChars="0" w:right="1010" w:firstLine="0" w:firstLineChars="0"/>
        <w:jc w:val="center"/>
        <w:rPr>
          <w:rFonts w:ascii="Times New Roman" w:hAnsi="Times New Roman" w:eastAsia="黑体" w:cs="Times New Roman"/>
          <w:color w:val="auto"/>
          <w:sz w:val="32"/>
        </w:rPr>
      </w:pPr>
      <w:r>
        <w:rPr>
          <w:rFonts w:ascii="Times New Roman" w:hAnsi="Times New Roman" w:eastAsia="黑体" w:cs="Times New Roman"/>
          <w:color w:val="auto"/>
          <w:sz w:val="32"/>
        </w:rPr>
        <w:t>撰写说明</w:t>
      </w:r>
    </w:p>
    <w:p w14:paraId="2FED2A61">
      <w:pPr>
        <w:pStyle w:val="8"/>
        <w:pageBreakBefore w:val="0"/>
        <w:kinsoku/>
        <w:wordWrap/>
        <w:overflowPunct/>
        <w:bidi w:val="0"/>
        <w:spacing w:before="12" w:line="317" w:lineRule="auto"/>
        <w:ind w:left="0"/>
        <w:rPr>
          <w:rFonts w:ascii="Times New Roman" w:hAnsi="Times New Roman" w:cs="Times New Roman"/>
          <w:color w:val="auto"/>
          <w:sz w:val="29"/>
        </w:rPr>
      </w:pPr>
    </w:p>
    <w:p w14:paraId="7C5E4213">
      <w:pPr>
        <w:pageBreakBefore w:val="0"/>
        <w:kinsoku/>
        <w:wordWrap/>
        <w:overflowPunct/>
        <w:bidi w:val="0"/>
        <w:spacing w:line="317" w:lineRule="auto"/>
        <w:rPr>
          <w:rFonts w:ascii="Times New Roman" w:hAnsi="Times New Roman" w:eastAsia="仿宋" w:cs="Times New Roman"/>
          <w:color w:val="auto"/>
          <w:spacing w:val="-7"/>
          <w:sz w:val="24"/>
          <w:szCs w:val="24"/>
        </w:rPr>
      </w:pPr>
    </w:p>
    <w:p w14:paraId="2B179040">
      <w:pPr>
        <w:pStyle w:val="22"/>
        <w:pageBreakBefore w:val="0"/>
        <w:numPr>
          <w:ilvl w:val="0"/>
          <w:numId w:val="2"/>
        </w:numPr>
        <w:tabs>
          <w:tab w:val="left" w:pos="963"/>
        </w:tabs>
        <w:kinsoku/>
        <w:wordWrap/>
        <w:overflowPunct/>
        <w:bidi w:val="0"/>
        <w:spacing w:line="317" w:lineRule="auto"/>
        <w:ind w:left="120" w:right="396" w:firstLine="559"/>
        <w:jc w:val="both"/>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学院</w:t>
      </w:r>
      <w:r>
        <w:rPr>
          <w:rFonts w:hint="eastAsia" w:ascii="Times New Roman" w:hAnsi="Times New Roman" w:eastAsia="仿宋" w:cs="Times New Roman"/>
          <w:b/>
          <w:bCs/>
          <w:color w:val="auto"/>
          <w:sz w:val="24"/>
          <w:szCs w:val="24"/>
        </w:rPr>
        <w:t>依据</w:t>
      </w:r>
      <w:r>
        <w:rPr>
          <w:rFonts w:ascii="Times New Roman" w:hAnsi="Times New Roman" w:eastAsia="仿宋" w:cs="Times New Roman"/>
          <w:b/>
          <w:bCs/>
          <w:color w:val="auto"/>
          <w:sz w:val="24"/>
          <w:szCs w:val="24"/>
        </w:rPr>
        <w:t>《</w:t>
      </w:r>
      <w:r>
        <w:rPr>
          <w:rFonts w:hint="eastAsia" w:ascii="Times New Roman" w:hAnsi="Times New Roman" w:eastAsia="仿宋" w:cs="Times New Roman"/>
          <w:b/>
          <w:bCs/>
          <w:color w:val="auto"/>
          <w:sz w:val="24"/>
          <w:szCs w:val="24"/>
          <w:lang w:eastAsia="zh-CN"/>
        </w:rPr>
        <w:t>湖南女子学院教学单位本科教学工作考核评估实施办法（修订）》（湘女院行字[2021)89号，以下简称《实施办法》）</w:t>
      </w:r>
      <w:r>
        <w:rPr>
          <w:rFonts w:ascii="Times New Roman" w:hAnsi="Times New Roman" w:eastAsia="仿宋" w:cs="Times New Roman"/>
          <w:b/>
          <w:bCs/>
          <w:color w:val="auto"/>
          <w:sz w:val="24"/>
          <w:szCs w:val="24"/>
        </w:rPr>
        <w:t>指标体系撰写自评报告</w:t>
      </w:r>
      <w:r>
        <w:rPr>
          <w:rFonts w:hint="eastAsia" w:ascii="Times New Roman" w:hAnsi="Times New Roman" w:eastAsia="仿宋" w:cs="Times New Roman"/>
          <w:b/>
          <w:bCs/>
          <w:color w:val="auto"/>
          <w:sz w:val="24"/>
          <w:szCs w:val="24"/>
          <w:lang w:eastAsia="zh-CN"/>
        </w:rPr>
        <w:t>，填写自评分数。</w:t>
      </w:r>
      <w:r>
        <w:rPr>
          <w:rFonts w:ascii="Times New Roman" w:hAnsi="Times New Roman" w:eastAsia="仿宋" w:cs="Times New Roman"/>
          <w:b/>
          <w:bCs/>
          <w:color w:val="auto"/>
          <w:sz w:val="24"/>
          <w:szCs w:val="24"/>
        </w:rPr>
        <w:t>自评报告</w:t>
      </w:r>
      <w:r>
        <w:rPr>
          <w:rFonts w:hint="eastAsia" w:ascii="Times New Roman" w:hAnsi="Times New Roman" w:eastAsia="仿宋" w:cs="Times New Roman"/>
          <w:b/>
          <w:bCs/>
          <w:color w:val="auto"/>
          <w:sz w:val="24"/>
          <w:szCs w:val="24"/>
          <w:lang w:eastAsia="zh-CN"/>
        </w:rPr>
        <w:t>第一、二级指标标题必须用原文，第三级指标标题可自拟题目，但内容必须对应</w:t>
      </w:r>
      <w:r>
        <w:rPr>
          <w:rFonts w:ascii="Times New Roman" w:hAnsi="Times New Roman" w:eastAsia="仿宋" w:cs="Times New Roman"/>
          <w:color w:val="auto"/>
          <w:sz w:val="24"/>
          <w:szCs w:val="24"/>
        </w:rPr>
        <w:t>。</w:t>
      </w:r>
    </w:p>
    <w:p w14:paraId="028124DD">
      <w:pPr>
        <w:pStyle w:val="22"/>
        <w:pageBreakBefore w:val="0"/>
        <w:numPr>
          <w:ilvl w:val="0"/>
          <w:numId w:val="2"/>
        </w:numPr>
        <w:tabs>
          <w:tab w:val="left" w:pos="963"/>
        </w:tabs>
        <w:kinsoku/>
        <w:wordWrap/>
        <w:overflowPunct/>
        <w:bidi w:val="0"/>
        <w:spacing w:line="317" w:lineRule="auto"/>
        <w:ind w:left="120" w:right="396" w:firstLine="559"/>
        <w:jc w:val="both"/>
        <w:rPr>
          <w:rFonts w:ascii="Times New Roman" w:hAnsi="Times New Roman" w:eastAsia="仿宋" w:cs="Times New Roman"/>
          <w:color w:val="auto"/>
          <w:sz w:val="24"/>
          <w:szCs w:val="24"/>
        </w:rPr>
      </w:pPr>
      <w:r>
        <w:rPr>
          <w:rFonts w:ascii="Times New Roman" w:hAnsi="Times New Roman" w:eastAsia="仿宋" w:cs="Times New Roman"/>
          <w:color w:val="auto"/>
          <w:spacing w:val="-7"/>
          <w:sz w:val="24"/>
          <w:szCs w:val="24"/>
        </w:rPr>
        <w:t>本指导书中所列内容是审核评估的基本要求，《自评报告》一般应</w:t>
      </w:r>
      <w:r>
        <w:rPr>
          <w:rFonts w:ascii="Times New Roman" w:hAnsi="Times New Roman" w:eastAsia="仿宋" w:cs="Times New Roman"/>
          <w:color w:val="auto"/>
          <w:spacing w:val="-11"/>
          <w:sz w:val="24"/>
          <w:szCs w:val="24"/>
        </w:rPr>
        <w:t>包含但不限于这些内容，撰写模板供参评学院撰</w:t>
      </w:r>
      <w:r>
        <w:rPr>
          <w:rFonts w:ascii="Times New Roman" w:hAnsi="Times New Roman" w:eastAsia="仿宋" w:cs="Times New Roman"/>
          <w:color w:val="auto"/>
          <w:spacing w:val="-4"/>
          <w:sz w:val="24"/>
          <w:szCs w:val="24"/>
        </w:rPr>
        <w:t>写时参考。</w:t>
      </w:r>
    </w:p>
    <w:p w14:paraId="26816C72">
      <w:pPr>
        <w:pStyle w:val="22"/>
        <w:pageBreakBefore w:val="0"/>
        <w:numPr>
          <w:ilvl w:val="0"/>
          <w:numId w:val="2"/>
        </w:numPr>
        <w:tabs>
          <w:tab w:val="left" w:pos="963"/>
        </w:tabs>
        <w:kinsoku/>
        <w:wordWrap/>
        <w:overflowPunct/>
        <w:bidi w:val="0"/>
        <w:spacing w:before="160" w:line="317" w:lineRule="auto"/>
        <w:ind w:left="120" w:right="258" w:firstLine="559"/>
        <w:jc w:val="both"/>
        <w:rPr>
          <w:rFonts w:ascii="Times New Roman" w:hAnsi="Times New Roman" w:eastAsia="仿宋" w:cs="Times New Roman"/>
          <w:b/>
          <w:bCs/>
          <w:color w:val="auto"/>
          <w:sz w:val="24"/>
          <w:szCs w:val="24"/>
        </w:rPr>
      </w:pPr>
      <w:r>
        <w:rPr>
          <w:rFonts w:ascii="Times New Roman" w:hAnsi="Times New Roman" w:eastAsia="仿宋" w:cs="Times New Roman"/>
          <w:b/>
          <w:bCs/>
          <w:color w:val="auto"/>
          <w:spacing w:val="-10"/>
          <w:sz w:val="24"/>
          <w:szCs w:val="24"/>
        </w:rPr>
        <w:t xml:space="preserve">《自评报告》总字数控制在 </w:t>
      </w:r>
      <w:r>
        <w:rPr>
          <w:rFonts w:ascii="Times New Roman" w:hAnsi="Times New Roman" w:eastAsia="仿宋" w:cs="Times New Roman"/>
          <w:b/>
          <w:bCs/>
          <w:color w:val="auto"/>
          <w:sz w:val="24"/>
          <w:szCs w:val="24"/>
        </w:rPr>
        <w:t>2.5</w:t>
      </w:r>
      <w:r>
        <w:rPr>
          <w:rFonts w:ascii="Times New Roman" w:hAnsi="Times New Roman" w:eastAsia="仿宋" w:cs="Times New Roman"/>
          <w:b/>
          <w:bCs/>
          <w:color w:val="auto"/>
          <w:spacing w:val="-19"/>
          <w:sz w:val="24"/>
          <w:szCs w:val="24"/>
        </w:rPr>
        <w:t>万字以内</w:t>
      </w:r>
      <w:r>
        <w:rPr>
          <w:rFonts w:ascii="Times New Roman" w:hAnsi="Times New Roman" w:eastAsia="仿宋" w:cs="Times New Roman"/>
          <w:color w:val="auto"/>
          <w:sz w:val="24"/>
          <w:szCs w:val="24"/>
        </w:rPr>
        <w:t>（</w:t>
      </w:r>
      <w:r>
        <w:rPr>
          <w:rFonts w:ascii="Times New Roman" w:hAnsi="Times New Roman" w:eastAsia="仿宋" w:cs="Times New Roman"/>
          <w:color w:val="auto"/>
          <w:spacing w:val="-3"/>
          <w:sz w:val="24"/>
          <w:szCs w:val="24"/>
        </w:rPr>
        <w:t>不含附录</w:t>
      </w:r>
      <w:r>
        <w:rPr>
          <w:rFonts w:ascii="Times New Roman" w:hAnsi="Times New Roman" w:eastAsia="仿宋" w:cs="Times New Roman"/>
          <w:color w:val="auto"/>
          <w:spacing w:val="-20"/>
          <w:sz w:val="24"/>
          <w:szCs w:val="24"/>
        </w:rPr>
        <w:t>）</w:t>
      </w:r>
      <w:r>
        <w:rPr>
          <w:rFonts w:ascii="Times New Roman" w:hAnsi="Times New Roman" w:eastAsia="仿宋" w:cs="Times New Roman"/>
          <w:color w:val="auto"/>
          <w:spacing w:val="-6"/>
          <w:sz w:val="24"/>
          <w:szCs w:val="24"/>
        </w:rPr>
        <w:t>，总字数</w:t>
      </w:r>
      <w:r>
        <w:rPr>
          <w:rFonts w:ascii="Times New Roman" w:hAnsi="Times New Roman" w:eastAsia="仿宋" w:cs="Times New Roman"/>
          <w:color w:val="auto"/>
          <w:spacing w:val="-18"/>
          <w:sz w:val="24"/>
          <w:szCs w:val="24"/>
        </w:rPr>
        <w:t>可在各部分中自行调节，建议的各部分控制字数供参考。</w:t>
      </w:r>
      <w:r>
        <w:rPr>
          <w:rFonts w:ascii="Times New Roman" w:hAnsi="Times New Roman" w:eastAsia="仿宋" w:cs="Times New Roman"/>
          <w:b/>
          <w:bCs/>
          <w:color w:val="auto"/>
          <w:spacing w:val="-18"/>
          <w:sz w:val="24"/>
          <w:szCs w:val="24"/>
        </w:rPr>
        <w:t>存在的问题、</w:t>
      </w:r>
      <w:r>
        <w:rPr>
          <w:rFonts w:ascii="Times New Roman" w:hAnsi="Times New Roman" w:eastAsia="仿宋" w:cs="Times New Roman"/>
          <w:b/>
          <w:bCs/>
          <w:color w:val="auto"/>
          <w:spacing w:val="-5"/>
          <w:sz w:val="24"/>
          <w:szCs w:val="24"/>
        </w:rPr>
        <w:t>原因分析以及改进措施不少于自评结果部分的</w:t>
      </w:r>
      <w:r>
        <w:rPr>
          <w:rFonts w:hint="eastAsia" w:ascii="Times New Roman" w:hAnsi="Times New Roman" w:eastAsia="仿宋" w:cs="Times New Roman"/>
          <w:b/>
          <w:bCs/>
          <w:color w:val="auto"/>
          <w:spacing w:val="-5"/>
          <w:sz w:val="24"/>
          <w:szCs w:val="24"/>
          <w:lang w:eastAsia="zh-CN"/>
        </w:rPr>
        <w:t>四</w:t>
      </w:r>
      <w:r>
        <w:rPr>
          <w:rFonts w:ascii="Times New Roman" w:hAnsi="Times New Roman" w:eastAsia="仿宋" w:cs="Times New Roman"/>
          <w:b/>
          <w:bCs/>
          <w:color w:val="auto"/>
          <w:spacing w:val="-5"/>
          <w:sz w:val="24"/>
          <w:szCs w:val="24"/>
        </w:rPr>
        <w:t>分之一。</w:t>
      </w:r>
    </w:p>
    <w:p w14:paraId="3517031E">
      <w:pPr>
        <w:pStyle w:val="22"/>
        <w:pageBreakBefore w:val="0"/>
        <w:numPr>
          <w:ilvl w:val="0"/>
          <w:numId w:val="2"/>
        </w:numPr>
        <w:tabs>
          <w:tab w:val="left" w:pos="963"/>
        </w:tabs>
        <w:kinsoku/>
        <w:wordWrap/>
        <w:overflowPunct/>
        <w:bidi w:val="0"/>
        <w:spacing w:before="159" w:line="317" w:lineRule="auto"/>
        <w:ind w:left="120" w:right="397" w:firstLine="559"/>
        <w:jc w:val="both"/>
        <w:rPr>
          <w:rFonts w:ascii="Times New Roman" w:hAnsi="Times New Roman" w:eastAsia="仿宋" w:cs="Times New Roman"/>
          <w:color w:val="auto"/>
          <w:sz w:val="24"/>
          <w:szCs w:val="24"/>
        </w:rPr>
      </w:pPr>
      <w:r>
        <w:rPr>
          <w:rFonts w:ascii="Times New Roman" w:hAnsi="Times New Roman" w:eastAsia="仿宋" w:cs="Times New Roman"/>
          <w:color w:val="auto"/>
          <w:spacing w:val="-8"/>
          <w:sz w:val="24"/>
          <w:szCs w:val="24"/>
        </w:rPr>
        <w:t>格式文本中的黑体字体为规定内容，撰写时予以保留；其他字</w:t>
      </w:r>
      <w:r>
        <w:rPr>
          <w:rFonts w:ascii="Times New Roman" w:hAnsi="Times New Roman" w:eastAsia="仿宋" w:cs="Times New Roman"/>
          <w:color w:val="auto"/>
          <w:spacing w:val="-3"/>
          <w:sz w:val="24"/>
          <w:szCs w:val="24"/>
        </w:rPr>
        <w:t>体为提示参考，撰写时不需保留。</w:t>
      </w:r>
    </w:p>
    <w:p w14:paraId="6CE87EA9">
      <w:pPr>
        <w:pStyle w:val="22"/>
        <w:pageBreakBefore w:val="0"/>
        <w:numPr>
          <w:ilvl w:val="0"/>
          <w:numId w:val="2"/>
        </w:numPr>
        <w:tabs>
          <w:tab w:val="left" w:pos="963"/>
        </w:tabs>
        <w:kinsoku/>
        <w:wordWrap/>
        <w:overflowPunct/>
        <w:bidi w:val="0"/>
        <w:spacing w:before="157" w:line="317" w:lineRule="auto"/>
        <w:ind w:left="120" w:right="395" w:firstLine="559"/>
        <w:jc w:val="both"/>
        <w:rPr>
          <w:rFonts w:ascii="Times New Roman" w:hAnsi="Times New Roman" w:eastAsia="仿宋" w:cs="Times New Roman"/>
          <w:b/>
          <w:bCs/>
          <w:color w:val="auto"/>
          <w:spacing w:val="-11"/>
          <w:sz w:val="24"/>
          <w:szCs w:val="24"/>
        </w:rPr>
      </w:pPr>
      <w:r>
        <w:rPr>
          <w:rFonts w:hint="eastAsia" w:ascii="Times New Roman" w:hAnsi="Times New Roman" w:eastAsia="仿宋" w:cs="Times New Roman"/>
          <w:b/>
          <w:bCs/>
          <w:color w:val="auto"/>
          <w:spacing w:val="-11"/>
          <w:sz w:val="24"/>
          <w:szCs w:val="24"/>
          <w:lang w:eastAsia="zh-CN"/>
        </w:rPr>
        <w:t>主要支撑材料</w:t>
      </w:r>
      <w:r>
        <w:rPr>
          <w:rFonts w:ascii="Times New Roman" w:hAnsi="Times New Roman" w:eastAsia="仿宋" w:cs="Times New Roman"/>
          <w:color w:val="auto"/>
          <w:spacing w:val="-11"/>
          <w:sz w:val="24"/>
          <w:szCs w:val="24"/>
        </w:rPr>
        <w:t>应作为《自评报告》附录列出，每个二级审核指</w:t>
      </w:r>
      <w:r>
        <w:rPr>
          <w:rFonts w:ascii="Times New Roman" w:hAnsi="Times New Roman" w:eastAsia="仿宋" w:cs="Times New Roman"/>
          <w:color w:val="auto"/>
          <w:spacing w:val="-5"/>
          <w:sz w:val="24"/>
          <w:szCs w:val="24"/>
        </w:rPr>
        <w:t>标自评结果后面应分别列出相关支撑材料索引</w:t>
      </w:r>
      <w:r>
        <w:rPr>
          <w:rFonts w:ascii="Times New Roman" w:hAnsi="Times New Roman" w:eastAsia="仿宋" w:cs="Times New Roman"/>
          <w:color w:val="auto"/>
          <w:spacing w:val="-11"/>
          <w:sz w:val="24"/>
          <w:szCs w:val="24"/>
        </w:rPr>
        <w:t>。</w:t>
      </w:r>
      <w:r>
        <w:rPr>
          <w:rFonts w:hint="eastAsia" w:ascii="Times New Roman" w:hAnsi="Times New Roman" w:eastAsia="仿宋" w:cs="Times New Roman"/>
          <w:b/>
          <w:bCs/>
          <w:color w:val="auto"/>
          <w:spacing w:val="-11"/>
          <w:sz w:val="24"/>
          <w:szCs w:val="24"/>
          <w:lang w:eastAsia="zh-CN"/>
        </w:rPr>
        <w:t>根据自评报告每个部分的提示内容，结合学院实际，在《实施办法》评分细则中所列主要支撑材料基础上进行补充调整。</w:t>
      </w:r>
    </w:p>
    <w:p w14:paraId="2A8F9950">
      <w:pPr>
        <w:pStyle w:val="22"/>
        <w:pageBreakBefore w:val="0"/>
        <w:numPr>
          <w:ilvl w:val="0"/>
          <w:numId w:val="2"/>
        </w:numPr>
        <w:tabs>
          <w:tab w:val="left" w:pos="963"/>
        </w:tabs>
        <w:kinsoku/>
        <w:wordWrap/>
        <w:overflowPunct/>
        <w:bidi w:val="0"/>
        <w:spacing w:before="153" w:line="317" w:lineRule="auto"/>
        <w:ind w:left="120" w:right="396" w:firstLine="559"/>
        <w:jc w:val="both"/>
        <w:rPr>
          <w:rFonts w:ascii="Times New Roman" w:hAnsi="Times New Roman" w:cs="Times New Roman"/>
          <w:color w:val="auto"/>
        </w:rPr>
      </w:pPr>
      <w:r>
        <w:rPr>
          <w:rFonts w:ascii="Times New Roman" w:hAnsi="Times New Roman" w:eastAsia="仿宋" w:cs="Times New Roman"/>
          <w:color w:val="auto"/>
          <w:spacing w:val="-9"/>
          <w:sz w:val="24"/>
          <w:szCs w:val="24"/>
        </w:rPr>
        <w:t>《自评报告》依据事实对学院</w:t>
      </w:r>
      <w:r>
        <w:rPr>
          <w:rFonts w:hint="eastAsia" w:ascii="Times New Roman" w:hAnsi="Times New Roman" w:eastAsia="仿宋" w:cs="Times New Roman"/>
          <w:color w:val="auto"/>
          <w:spacing w:val="-9"/>
          <w:sz w:val="24"/>
          <w:szCs w:val="24"/>
          <w:lang w:eastAsia="zh-CN"/>
        </w:rPr>
        <w:t>（部）</w:t>
      </w:r>
      <w:r>
        <w:rPr>
          <w:rFonts w:ascii="Times New Roman" w:hAnsi="Times New Roman" w:eastAsia="仿宋" w:cs="Times New Roman"/>
          <w:color w:val="auto"/>
          <w:spacing w:val="-9"/>
          <w:sz w:val="24"/>
          <w:szCs w:val="24"/>
        </w:rPr>
        <w:t>本科教育教学作出审核判断，撰写文本应以数据</w:t>
      </w:r>
      <w:r>
        <w:rPr>
          <w:rFonts w:hint="eastAsia" w:ascii="Times New Roman" w:hAnsi="Times New Roman" w:eastAsia="仿宋" w:cs="Times New Roman"/>
          <w:color w:val="auto"/>
          <w:spacing w:val="-9"/>
          <w:sz w:val="24"/>
          <w:szCs w:val="24"/>
          <w:lang w:eastAsia="zh-CN"/>
        </w:rPr>
        <w:t>（</w:t>
      </w:r>
      <w:r>
        <w:rPr>
          <w:rFonts w:hint="eastAsia" w:ascii="Times New Roman" w:hAnsi="Times New Roman" w:eastAsia="仿宋" w:cs="Times New Roman"/>
          <w:b/>
          <w:bCs/>
          <w:color w:val="auto"/>
          <w:spacing w:val="-9"/>
          <w:sz w:val="24"/>
          <w:szCs w:val="24"/>
          <w:lang w:eastAsia="zh-CN"/>
        </w:rPr>
        <w:t>量化指标需在报告中附数据统计图表</w:t>
      </w:r>
      <w:r>
        <w:rPr>
          <w:rFonts w:hint="eastAsia" w:ascii="Times New Roman" w:hAnsi="Times New Roman" w:eastAsia="仿宋" w:cs="Times New Roman"/>
          <w:color w:val="auto"/>
          <w:spacing w:val="-9"/>
          <w:sz w:val="24"/>
          <w:szCs w:val="24"/>
          <w:lang w:eastAsia="zh-CN"/>
        </w:rPr>
        <w:t>）</w:t>
      </w:r>
      <w:r>
        <w:rPr>
          <w:rFonts w:ascii="Times New Roman" w:hAnsi="Times New Roman" w:eastAsia="仿宋" w:cs="Times New Roman"/>
          <w:color w:val="auto"/>
          <w:spacing w:val="-9"/>
          <w:sz w:val="24"/>
          <w:szCs w:val="24"/>
        </w:rPr>
        <w:t>为依据、用事实来证明，不回避问题、不隐瞒事实、不弄虚作假、不夸大成绩</w:t>
      </w:r>
      <w:r>
        <w:rPr>
          <w:rFonts w:ascii="Times New Roman" w:hAnsi="Times New Roman" w:eastAsia="仿宋" w:cs="Times New Roman"/>
          <w:color w:val="auto"/>
          <w:spacing w:val="-6"/>
          <w:sz w:val="24"/>
          <w:szCs w:val="24"/>
        </w:rPr>
        <w:t>。</w:t>
      </w:r>
    </w:p>
    <w:p w14:paraId="62CD3220">
      <w:pPr>
        <w:rPr>
          <w:rFonts w:ascii="Times New Roman" w:hAnsi="Times New Roman" w:eastAsia="宋体" w:cs="Times New Roman"/>
          <w:color w:val="auto"/>
        </w:rPr>
      </w:pPr>
      <w:r>
        <w:rPr>
          <w:rFonts w:ascii="Times New Roman" w:hAnsi="Times New Roman" w:eastAsia="宋体" w:cs="Times New Roman"/>
          <w:color w:val="auto"/>
        </w:rPr>
        <w:br w:type="page"/>
      </w:r>
    </w:p>
    <w:p w14:paraId="1C84215C">
      <w:pPr>
        <w:pageBreakBefore w:val="0"/>
        <w:kinsoku/>
        <w:wordWrap/>
        <w:overflowPunct/>
        <w:bidi w:val="0"/>
        <w:spacing w:line="317" w:lineRule="auto"/>
        <w:rPr>
          <w:rFonts w:ascii="Times New Roman" w:hAnsi="Times New Roman" w:eastAsia="宋体" w:cs="Times New Roman"/>
          <w:color w:val="auto"/>
        </w:rPr>
        <w:sectPr>
          <w:pgSz w:w="11910" w:h="16840"/>
          <w:pgMar w:top="1417" w:right="1531" w:bottom="1304" w:left="1531" w:header="0" w:footer="964" w:gutter="0"/>
          <w:pgNumType w:fmt="decimal"/>
          <w:cols w:space="0" w:num="1"/>
          <w:rtlGutter w:val="0"/>
          <w:docGrid w:linePitch="0" w:charSpace="0"/>
        </w:sectPr>
      </w:pPr>
    </w:p>
    <w:p w14:paraId="6F046183">
      <w:pPr>
        <w:pStyle w:val="2"/>
        <w:keepNext w:val="0"/>
        <w:keepLines w:val="0"/>
        <w:pageBreakBefore w:val="0"/>
        <w:widowControl w:val="0"/>
        <w:kinsoku/>
        <w:wordWrap/>
        <w:overflowPunct/>
        <w:topLinePunct w:val="0"/>
        <w:autoSpaceDE w:val="0"/>
        <w:autoSpaceDN w:val="0"/>
        <w:bidi w:val="0"/>
        <w:adjustRightInd/>
        <w:snapToGrid/>
        <w:spacing w:line="317" w:lineRule="auto"/>
        <w:ind w:left="0" w:leftChars="0" w:right="0" w:firstLine="0" w:firstLineChars="0"/>
        <w:jc w:val="center"/>
        <w:textAlignment w:val="auto"/>
        <w:rPr>
          <w:rFonts w:hint="default" w:ascii="Times New Roman" w:hAnsi="Times New Roman" w:eastAsia="黑体" w:cs="Times New Roman"/>
          <w:bCs/>
          <w:color w:val="auto"/>
          <w:sz w:val="32"/>
          <w:szCs w:val="44"/>
          <w:lang w:val="en-US" w:eastAsia="zh-CN" w:bidi="zh-CN"/>
        </w:rPr>
      </w:pPr>
      <w:bookmarkStart w:id="5" w:name="_Toc7158"/>
      <w:bookmarkStart w:id="6" w:name="_Toc30888"/>
      <w:r>
        <w:rPr>
          <w:rFonts w:hint="eastAsia" w:ascii="Times New Roman" w:hAnsi="Times New Roman" w:cs="Times New Roman"/>
          <w:b/>
          <w:bCs/>
          <w:color w:val="auto"/>
          <w:sz w:val="44"/>
          <w:szCs w:val="44"/>
          <w:lang w:val="en-US" w:eastAsia="zh-CN"/>
        </w:rPr>
        <w:t>目    录</w:t>
      </w:r>
      <w:bookmarkEnd w:id="5"/>
      <w:bookmarkEnd w:id="6"/>
      <w:r>
        <w:rPr>
          <w:rFonts w:hint="default" w:ascii="Times New Roman" w:hAnsi="Times New Roman" w:cs="Times New Roman"/>
          <w:b/>
          <w:bCs/>
          <w:color w:val="auto"/>
          <w:lang w:val="en-US" w:eastAsia="zh-CN"/>
        </w:rPr>
        <w:fldChar w:fldCharType="begin"/>
      </w:r>
      <w:r>
        <w:rPr>
          <w:rFonts w:hint="default" w:ascii="Times New Roman" w:hAnsi="Times New Roman" w:cs="Times New Roman"/>
          <w:b/>
          <w:bCs/>
          <w:color w:val="auto"/>
          <w:lang w:val="en-US" w:eastAsia="zh-CN"/>
        </w:rPr>
        <w:instrText xml:space="preserve">TOC \o "1-3" \h \u </w:instrText>
      </w:r>
      <w:r>
        <w:rPr>
          <w:rFonts w:hint="default" w:ascii="Times New Roman" w:hAnsi="Times New Roman" w:cs="Times New Roman"/>
          <w:b/>
          <w:bCs/>
          <w:color w:val="auto"/>
          <w:lang w:val="en-US" w:eastAsia="zh-CN"/>
        </w:rPr>
        <w:fldChar w:fldCharType="separate"/>
      </w:r>
    </w:p>
    <w:p w14:paraId="175D4592">
      <w:pPr>
        <w:pStyle w:val="12"/>
        <w:tabs>
          <w:tab w:val="right" w:leader="dot" w:pos="8848"/>
        </w:tabs>
        <w:ind w:left="0" w:leftChars="0" w:firstLine="0" w:firstLineChars="0"/>
        <w:rPr>
          <w:rFonts w:hint="eastAsia" w:asciiTheme="minorEastAsia" w:hAnsiTheme="minorEastAsia" w:eastAsiaTheme="minorEastAsia" w:cstheme="minorEastAsia"/>
          <w:b/>
          <w:bCs w:val="0"/>
        </w:rPr>
      </w:pPr>
      <w:r>
        <w:rPr>
          <w:rFonts w:hint="eastAsia" w:asciiTheme="minorEastAsia" w:hAnsiTheme="minorEastAsia" w:eastAsiaTheme="minorEastAsia" w:cstheme="minorEastAsia"/>
          <w:b/>
          <w:bCs w:val="0"/>
          <w:color w:val="auto"/>
          <w:lang w:val="en-US" w:eastAsia="zh-CN"/>
        </w:rPr>
        <w:fldChar w:fldCharType="begin"/>
      </w:r>
      <w:r>
        <w:rPr>
          <w:rFonts w:hint="eastAsia" w:asciiTheme="minorEastAsia" w:hAnsiTheme="minorEastAsia" w:eastAsiaTheme="minorEastAsia" w:cstheme="minorEastAsia"/>
          <w:b/>
          <w:bCs w:val="0"/>
          <w:lang w:val="en-US" w:eastAsia="zh-CN"/>
        </w:rPr>
        <w:instrText xml:space="preserve"> HYPERLINK \l _Toc5474 </w:instrText>
      </w:r>
      <w:r>
        <w:rPr>
          <w:rFonts w:hint="eastAsia" w:asciiTheme="minorEastAsia" w:hAnsiTheme="minorEastAsia" w:eastAsiaTheme="minorEastAsia" w:cstheme="minorEastAsia"/>
          <w:b/>
          <w:bCs w:val="0"/>
          <w:lang w:val="en-US" w:eastAsia="zh-CN"/>
        </w:rPr>
        <w:fldChar w:fldCharType="separate"/>
      </w:r>
      <w:r>
        <w:rPr>
          <w:rFonts w:hint="eastAsia" w:asciiTheme="minorEastAsia" w:hAnsiTheme="minorEastAsia" w:eastAsiaTheme="minorEastAsia" w:cstheme="minorEastAsia"/>
          <w:b/>
          <w:bCs w:val="0"/>
          <w:lang w:val="en-US" w:eastAsia="zh-CN"/>
        </w:rPr>
        <w:t xml:space="preserve">第一部分   </w:t>
      </w:r>
      <w:r>
        <w:rPr>
          <w:rFonts w:hint="eastAsia" w:asciiTheme="minorEastAsia" w:hAnsiTheme="minorEastAsia" w:eastAsiaTheme="minorEastAsia" w:cstheme="minorEastAsia"/>
          <w:b/>
          <w:bCs w:val="0"/>
        </w:rPr>
        <w:t>学院简介</w:t>
      </w:r>
      <w:r>
        <w:rPr>
          <w:rFonts w:hint="eastAsia" w:asciiTheme="minorEastAsia" w:hAnsiTheme="minorEastAsia" w:eastAsiaTheme="minorEastAsia" w:cstheme="minorEastAsia"/>
          <w:b/>
          <w:bCs w:val="0"/>
        </w:rPr>
        <w:tab/>
      </w:r>
      <w:r>
        <w:rPr>
          <w:rFonts w:hint="eastAsia" w:asciiTheme="minorEastAsia" w:hAnsiTheme="minorEastAsia" w:eastAsiaTheme="minorEastAsia" w:cstheme="minorEastAsia"/>
          <w:b/>
          <w:bCs w:val="0"/>
        </w:rPr>
        <w:fldChar w:fldCharType="begin"/>
      </w:r>
      <w:r>
        <w:rPr>
          <w:rFonts w:hint="eastAsia" w:asciiTheme="minorEastAsia" w:hAnsiTheme="minorEastAsia" w:eastAsiaTheme="minorEastAsia" w:cstheme="minorEastAsia"/>
          <w:b/>
          <w:bCs w:val="0"/>
        </w:rPr>
        <w:instrText xml:space="preserve"> PAGEREF _Toc5474 \h </w:instrText>
      </w:r>
      <w:r>
        <w:rPr>
          <w:rFonts w:hint="eastAsia" w:asciiTheme="minorEastAsia" w:hAnsiTheme="minorEastAsia" w:eastAsiaTheme="minorEastAsia" w:cstheme="minorEastAsia"/>
          <w:b/>
          <w:bCs w:val="0"/>
        </w:rPr>
        <w:fldChar w:fldCharType="separate"/>
      </w:r>
      <w:r>
        <w:rPr>
          <w:rFonts w:hint="eastAsia" w:asciiTheme="minorEastAsia" w:hAnsiTheme="minorEastAsia" w:eastAsiaTheme="minorEastAsia" w:cstheme="minorEastAsia"/>
          <w:b/>
          <w:bCs w:val="0"/>
        </w:rPr>
        <w:t>1</w:t>
      </w:r>
      <w:r>
        <w:rPr>
          <w:rFonts w:hint="eastAsia" w:asciiTheme="minorEastAsia" w:hAnsiTheme="minorEastAsia" w:eastAsiaTheme="minorEastAsia" w:cstheme="minorEastAsia"/>
          <w:b/>
          <w:bCs w:val="0"/>
        </w:rPr>
        <w:fldChar w:fldCharType="end"/>
      </w:r>
      <w:r>
        <w:rPr>
          <w:rFonts w:hint="eastAsia" w:asciiTheme="minorEastAsia" w:hAnsiTheme="minorEastAsia" w:eastAsiaTheme="minorEastAsia" w:cstheme="minorEastAsia"/>
          <w:b/>
          <w:bCs w:val="0"/>
          <w:color w:val="auto"/>
          <w:lang w:val="en-US" w:eastAsia="zh-CN"/>
        </w:rPr>
        <w:fldChar w:fldCharType="end"/>
      </w:r>
    </w:p>
    <w:p w14:paraId="0D9ABBDE">
      <w:pPr>
        <w:pStyle w:val="12"/>
        <w:tabs>
          <w:tab w:val="right" w:leader="dot" w:pos="8848"/>
        </w:tabs>
        <w:ind w:left="0" w:leftChars="0" w:firstLine="0" w:firstLineChars="0"/>
        <w:rPr>
          <w:rFonts w:hint="eastAsia" w:asciiTheme="minorEastAsia" w:hAnsiTheme="minorEastAsia" w:eastAsiaTheme="minorEastAsia" w:cstheme="minorEastAsia"/>
          <w:b/>
          <w:bCs w:val="0"/>
        </w:rPr>
      </w:pPr>
      <w:r>
        <w:rPr>
          <w:rFonts w:hint="eastAsia" w:asciiTheme="minorEastAsia" w:hAnsiTheme="minorEastAsia" w:eastAsiaTheme="minorEastAsia" w:cstheme="minorEastAsia"/>
          <w:b/>
          <w:bCs w:val="0"/>
          <w:color w:val="auto"/>
          <w:lang w:val="en-US" w:eastAsia="zh-CN"/>
        </w:rPr>
        <w:fldChar w:fldCharType="begin"/>
      </w:r>
      <w:r>
        <w:rPr>
          <w:rFonts w:hint="eastAsia" w:asciiTheme="minorEastAsia" w:hAnsiTheme="minorEastAsia" w:eastAsiaTheme="minorEastAsia" w:cstheme="minorEastAsia"/>
          <w:b/>
          <w:bCs w:val="0"/>
          <w:lang w:val="en-US" w:eastAsia="zh-CN"/>
        </w:rPr>
        <w:instrText xml:space="preserve"> HYPERLINK \l _Toc4500 </w:instrText>
      </w:r>
      <w:r>
        <w:rPr>
          <w:rFonts w:hint="eastAsia" w:asciiTheme="minorEastAsia" w:hAnsiTheme="minorEastAsia" w:eastAsiaTheme="minorEastAsia" w:cstheme="minorEastAsia"/>
          <w:b/>
          <w:bCs w:val="0"/>
          <w:lang w:val="en-US" w:eastAsia="zh-CN"/>
        </w:rPr>
        <w:fldChar w:fldCharType="separate"/>
      </w:r>
      <w:r>
        <w:rPr>
          <w:rFonts w:hint="eastAsia" w:asciiTheme="minorEastAsia" w:hAnsiTheme="minorEastAsia" w:eastAsiaTheme="minorEastAsia" w:cstheme="minorEastAsia"/>
          <w:b/>
          <w:bCs w:val="0"/>
        </w:rPr>
        <w:t>第二部分</w:t>
      </w:r>
      <w:r>
        <w:rPr>
          <w:rFonts w:hint="eastAsia" w:asciiTheme="minorEastAsia" w:hAnsiTheme="minorEastAsia" w:eastAsiaTheme="minorEastAsia" w:cstheme="minorEastAsia"/>
          <w:b/>
          <w:bCs w:val="0"/>
          <w:lang w:val="en-US" w:eastAsia="zh-CN"/>
        </w:rPr>
        <w:t xml:space="preserve">    </w:t>
      </w:r>
      <w:r>
        <w:rPr>
          <w:rFonts w:hint="eastAsia" w:asciiTheme="minorEastAsia" w:hAnsiTheme="minorEastAsia" w:eastAsiaTheme="minorEastAsia" w:cstheme="minorEastAsia"/>
          <w:b/>
          <w:bCs w:val="0"/>
        </w:rPr>
        <w:t>学院自评工作开展情况</w:t>
      </w:r>
      <w:r>
        <w:rPr>
          <w:rFonts w:hint="eastAsia" w:asciiTheme="minorEastAsia" w:hAnsiTheme="minorEastAsia" w:eastAsiaTheme="minorEastAsia" w:cstheme="minorEastAsia"/>
          <w:b/>
          <w:bCs w:val="0"/>
        </w:rPr>
        <w:tab/>
      </w:r>
      <w:r>
        <w:rPr>
          <w:rFonts w:hint="eastAsia" w:asciiTheme="minorEastAsia" w:hAnsiTheme="minorEastAsia" w:eastAsiaTheme="minorEastAsia" w:cstheme="minorEastAsia"/>
          <w:b/>
          <w:bCs w:val="0"/>
        </w:rPr>
        <w:fldChar w:fldCharType="begin"/>
      </w:r>
      <w:r>
        <w:rPr>
          <w:rFonts w:hint="eastAsia" w:asciiTheme="minorEastAsia" w:hAnsiTheme="minorEastAsia" w:eastAsiaTheme="minorEastAsia" w:cstheme="minorEastAsia"/>
          <w:b/>
          <w:bCs w:val="0"/>
        </w:rPr>
        <w:instrText xml:space="preserve"> PAGEREF _Toc4500 \h </w:instrText>
      </w:r>
      <w:r>
        <w:rPr>
          <w:rFonts w:hint="eastAsia" w:asciiTheme="minorEastAsia" w:hAnsiTheme="minorEastAsia" w:eastAsiaTheme="minorEastAsia" w:cstheme="minorEastAsia"/>
          <w:b/>
          <w:bCs w:val="0"/>
        </w:rPr>
        <w:fldChar w:fldCharType="separate"/>
      </w:r>
      <w:r>
        <w:rPr>
          <w:rFonts w:hint="eastAsia" w:asciiTheme="minorEastAsia" w:hAnsiTheme="minorEastAsia" w:eastAsiaTheme="minorEastAsia" w:cstheme="minorEastAsia"/>
          <w:b/>
          <w:bCs w:val="0"/>
        </w:rPr>
        <w:t>2</w:t>
      </w:r>
      <w:r>
        <w:rPr>
          <w:rFonts w:hint="eastAsia" w:asciiTheme="minorEastAsia" w:hAnsiTheme="minorEastAsia" w:eastAsiaTheme="minorEastAsia" w:cstheme="minorEastAsia"/>
          <w:b/>
          <w:bCs w:val="0"/>
        </w:rPr>
        <w:fldChar w:fldCharType="end"/>
      </w:r>
      <w:r>
        <w:rPr>
          <w:rFonts w:hint="eastAsia" w:asciiTheme="minorEastAsia" w:hAnsiTheme="minorEastAsia" w:eastAsiaTheme="minorEastAsia" w:cstheme="minorEastAsia"/>
          <w:b/>
          <w:bCs w:val="0"/>
          <w:color w:val="auto"/>
          <w:lang w:val="en-US" w:eastAsia="zh-CN"/>
        </w:rPr>
        <w:fldChar w:fldCharType="end"/>
      </w:r>
    </w:p>
    <w:p w14:paraId="48539873">
      <w:pPr>
        <w:pStyle w:val="12"/>
        <w:tabs>
          <w:tab w:val="right" w:leader="dot" w:pos="8848"/>
        </w:tabs>
        <w:ind w:left="0" w:leftChars="0" w:firstLine="0" w:firstLineChars="0"/>
        <w:rPr>
          <w:rFonts w:hint="eastAsia" w:asciiTheme="minorEastAsia" w:hAnsiTheme="minorEastAsia" w:eastAsiaTheme="minorEastAsia" w:cstheme="minorEastAsia"/>
          <w:b/>
          <w:bCs w:val="0"/>
        </w:rPr>
      </w:pPr>
      <w:r>
        <w:rPr>
          <w:rFonts w:hint="eastAsia" w:asciiTheme="minorEastAsia" w:hAnsiTheme="minorEastAsia" w:eastAsiaTheme="minorEastAsia" w:cstheme="minorEastAsia"/>
          <w:b/>
          <w:bCs w:val="0"/>
          <w:color w:val="auto"/>
          <w:lang w:val="en-US" w:eastAsia="zh-CN"/>
        </w:rPr>
        <w:fldChar w:fldCharType="begin"/>
      </w:r>
      <w:r>
        <w:rPr>
          <w:rFonts w:hint="eastAsia" w:asciiTheme="minorEastAsia" w:hAnsiTheme="minorEastAsia" w:eastAsiaTheme="minorEastAsia" w:cstheme="minorEastAsia"/>
          <w:b/>
          <w:bCs w:val="0"/>
          <w:lang w:val="en-US" w:eastAsia="zh-CN"/>
        </w:rPr>
        <w:instrText xml:space="preserve"> HYPERLINK \l _Toc19727 </w:instrText>
      </w:r>
      <w:r>
        <w:rPr>
          <w:rFonts w:hint="eastAsia" w:asciiTheme="minorEastAsia" w:hAnsiTheme="minorEastAsia" w:eastAsiaTheme="minorEastAsia" w:cstheme="minorEastAsia"/>
          <w:b/>
          <w:bCs w:val="0"/>
          <w:lang w:val="en-US" w:eastAsia="zh-CN"/>
        </w:rPr>
        <w:fldChar w:fldCharType="separate"/>
      </w:r>
      <w:r>
        <w:rPr>
          <w:rFonts w:hint="eastAsia" w:asciiTheme="minorEastAsia" w:hAnsiTheme="minorEastAsia" w:eastAsiaTheme="minorEastAsia" w:cstheme="minorEastAsia"/>
          <w:b/>
          <w:bCs w:val="0"/>
          <w:lang w:val="en-US" w:eastAsia="zh-CN"/>
        </w:rPr>
        <w:t xml:space="preserve">第三部分   </w:t>
      </w:r>
      <w:r>
        <w:rPr>
          <w:rFonts w:hint="eastAsia" w:asciiTheme="minorEastAsia" w:hAnsiTheme="minorEastAsia" w:eastAsiaTheme="minorEastAsia" w:cstheme="minorEastAsia"/>
          <w:b/>
          <w:bCs w:val="0"/>
        </w:rPr>
        <w:t>学院自评结果</w:t>
      </w:r>
      <w:r>
        <w:rPr>
          <w:rFonts w:hint="eastAsia" w:asciiTheme="minorEastAsia" w:hAnsiTheme="minorEastAsia" w:eastAsiaTheme="minorEastAsia" w:cstheme="minorEastAsia"/>
          <w:b/>
          <w:bCs w:val="0"/>
        </w:rPr>
        <w:tab/>
      </w:r>
      <w:r>
        <w:rPr>
          <w:rFonts w:hint="eastAsia" w:asciiTheme="minorEastAsia" w:hAnsiTheme="minorEastAsia" w:eastAsiaTheme="minorEastAsia" w:cstheme="minorEastAsia"/>
          <w:b/>
          <w:bCs w:val="0"/>
        </w:rPr>
        <w:fldChar w:fldCharType="begin"/>
      </w:r>
      <w:r>
        <w:rPr>
          <w:rFonts w:hint="eastAsia" w:asciiTheme="minorEastAsia" w:hAnsiTheme="minorEastAsia" w:eastAsiaTheme="minorEastAsia" w:cstheme="minorEastAsia"/>
          <w:b/>
          <w:bCs w:val="0"/>
        </w:rPr>
        <w:instrText xml:space="preserve"> PAGEREF _Toc19727 \h </w:instrText>
      </w:r>
      <w:r>
        <w:rPr>
          <w:rFonts w:hint="eastAsia" w:asciiTheme="minorEastAsia" w:hAnsiTheme="minorEastAsia" w:eastAsiaTheme="minorEastAsia" w:cstheme="minorEastAsia"/>
          <w:b/>
          <w:bCs w:val="0"/>
        </w:rPr>
        <w:fldChar w:fldCharType="separate"/>
      </w:r>
      <w:r>
        <w:rPr>
          <w:rFonts w:hint="eastAsia" w:asciiTheme="minorEastAsia" w:hAnsiTheme="minorEastAsia" w:eastAsiaTheme="minorEastAsia" w:cstheme="minorEastAsia"/>
          <w:b/>
          <w:bCs w:val="0"/>
        </w:rPr>
        <w:t>5</w:t>
      </w:r>
      <w:r>
        <w:rPr>
          <w:rFonts w:hint="eastAsia" w:asciiTheme="minorEastAsia" w:hAnsiTheme="minorEastAsia" w:eastAsiaTheme="minorEastAsia" w:cstheme="minorEastAsia"/>
          <w:b/>
          <w:bCs w:val="0"/>
        </w:rPr>
        <w:fldChar w:fldCharType="end"/>
      </w:r>
      <w:r>
        <w:rPr>
          <w:rFonts w:hint="eastAsia" w:asciiTheme="minorEastAsia" w:hAnsiTheme="minorEastAsia" w:eastAsiaTheme="minorEastAsia" w:cstheme="minorEastAsia"/>
          <w:b/>
          <w:bCs w:val="0"/>
          <w:color w:val="auto"/>
          <w:lang w:val="en-US" w:eastAsia="zh-CN"/>
        </w:rPr>
        <w:fldChar w:fldCharType="end"/>
      </w:r>
    </w:p>
    <w:p w14:paraId="6DB3C86D">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_Toc21726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szCs w:val="32"/>
          <w:lang w:val="en-US" w:eastAsia="zh-CN"/>
        </w:rPr>
        <w:t>1.办学方向与本科地位</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_Toc21726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052725BD">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_Toc28510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szCs w:val="32"/>
          <w:lang w:val="zh-CN" w:eastAsia="zh-CN"/>
        </w:rPr>
        <w:t>1.1 党的领导</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_Toc28510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7DEDD6D6">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_Toc1482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szCs w:val="32"/>
          <w:lang w:val="en-US" w:eastAsia="zh-CN"/>
        </w:rPr>
        <w:t>1.2 思政教育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_Toc1482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73DC1D29">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_Toc24804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szCs w:val="32"/>
          <w:lang w:val="en-US" w:eastAsia="zh-CN"/>
        </w:rPr>
        <w:t>1.3 落实本科地位</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_Toc24804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01493D6C">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_Toc15826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szCs w:val="32"/>
          <w:lang w:val="en-US" w:eastAsia="zh-CN"/>
        </w:rPr>
        <w:t>1.4 存在的主要问题、原因分析及下一步整改举措</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_Toc15826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04682A49">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_Toc31326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szCs w:val="32"/>
          <w:lang w:val="en-US" w:eastAsia="zh-CN"/>
        </w:rPr>
        <w:t>2.培养过程</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_Toc31326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668D97C2">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_Toc25465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szCs w:val="32"/>
          <w:lang w:val="zh-CN" w:eastAsia="zh-CN"/>
        </w:rPr>
        <w:t>2.</w:t>
      </w:r>
      <w:r>
        <w:rPr>
          <w:rFonts w:hint="eastAsia" w:asciiTheme="minorEastAsia" w:hAnsiTheme="minorEastAsia" w:eastAsiaTheme="minorEastAsia" w:cstheme="minorEastAsia"/>
          <w:bCs/>
          <w:szCs w:val="32"/>
          <w:lang w:val="en-US" w:eastAsia="zh-CN"/>
        </w:rPr>
        <w:t xml:space="preserve">4 </w:t>
      </w:r>
      <w:r>
        <w:rPr>
          <w:rFonts w:hint="eastAsia" w:asciiTheme="minorEastAsia" w:hAnsiTheme="minorEastAsia" w:eastAsiaTheme="minorEastAsia" w:cstheme="minorEastAsia"/>
          <w:bCs/>
          <w:szCs w:val="32"/>
          <w:lang w:val="zh-CN" w:eastAsia="zh-CN"/>
        </w:rPr>
        <w:t>卓越培养</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_Toc25465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522B21C4">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_Toc18279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szCs w:val="32"/>
          <w:lang w:val="zh-CN" w:eastAsia="zh-CN"/>
        </w:rPr>
        <w:t>2.</w:t>
      </w:r>
      <w:r>
        <w:rPr>
          <w:rFonts w:hint="eastAsia" w:asciiTheme="minorEastAsia" w:hAnsiTheme="minorEastAsia" w:eastAsiaTheme="minorEastAsia" w:cstheme="minorEastAsia"/>
          <w:bCs/>
          <w:szCs w:val="32"/>
          <w:lang w:val="en-US" w:eastAsia="zh-CN"/>
        </w:rPr>
        <w:t>5</w:t>
      </w:r>
      <w:r>
        <w:rPr>
          <w:rFonts w:hint="eastAsia" w:asciiTheme="minorEastAsia" w:hAnsiTheme="minorEastAsia" w:eastAsiaTheme="minorEastAsia" w:cstheme="minorEastAsia"/>
          <w:bCs/>
          <w:szCs w:val="32"/>
          <w:lang w:val="zh-CN" w:eastAsia="zh-CN"/>
        </w:rPr>
        <w:t xml:space="preserve"> 创新创业教育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_Toc18279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6673BD4F">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_Toc3435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szCs w:val="32"/>
          <w:lang w:val="zh-CN" w:eastAsia="zh-CN"/>
        </w:rPr>
        <w:t>2.</w:t>
      </w:r>
      <w:r>
        <w:rPr>
          <w:rFonts w:hint="eastAsia" w:asciiTheme="minorEastAsia" w:hAnsiTheme="minorEastAsia" w:eastAsiaTheme="minorEastAsia" w:cstheme="minorEastAsia"/>
          <w:bCs/>
          <w:szCs w:val="32"/>
          <w:lang w:val="en-US" w:eastAsia="zh-CN"/>
        </w:rPr>
        <w:t>6</w:t>
      </w:r>
      <w:r>
        <w:rPr>
          <w:rFonts w:hint="eastAsia" w:asciiTheme="minorEastAsia" w:hAnsiTheme="minorEastAsia" w:eastAsiaTheme="minorEastAsia" w:cstheme="minorEastAsia"/>
          <w:bCs/>
          <w:szCs w:val="32"/>
          <w:lang w:val="zh-CN" w:eastAsia="zh-CN"/>
        </w:rPr>
        <w:t xml:space="preserve"> 存在的问题、原因分析及下一步整改举措</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_Toc3435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15EFEE83">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_Toc11365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szCs w:val="32"/>
          <w:lang w:val="en-US" w:eastAsia="zh-CN"/>
        </w:rPr>
        <w:t>3.教学资源与利用</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_Toc11365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779FDC54">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_Toc9149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szCs w:val="32"/>
          <w:lang w:val="en-US" w:eastAsia="zh-CN"/>
        </w:rPr>
        <w:t>3.1 设施条件</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_Toc9149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1E59EEB4">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_Toc30439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szCs w:val="32"/>
          <w:lang w:val="en-US" w:eastAsia="zh-CN"/>
        </w:rPr>
        <w:t>3.2 资源建设</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_Toc30439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03FCAD2B">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_Toc17045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szCs w:val="32"/>
          <w:lang w:val="en-US" w:eastAsia="zh-CN"/>
        </w:rPr>
        <w:t>3.3 存在的问题、原因分析及下一步整改举措</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_Toc17045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0F1FA845">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_Toc22416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szCs w:val="32"/>
          <w:lang w:val="en-US" w:eastAsia="zh-CN"/>
        </w:rPr>
        <w:t>4. 教师队伍</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_Toc22416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232CD8B4">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_Toc308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szCs w:val="32"/>
          <w:lang w:val="en-US" w:eastAsia="zh-CN"/>
        </w:rPr>
        <w:t>4.1 师德师风</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_Toc308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0636AC57">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_Toc16129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szCs w:val="32"/>
          <w:lang w:val="en-US" w:eastAsia="zh-CN"/>
        </w:rPr>
        <w:t>4.2 教学能力</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_Toc16129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50522BB8">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_Toc28198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szCs w:val="32"/>
          <w:lang w:val="en-US" w:eastAsia="zh-CN"/>
        </w:rPr>
        <w:t>4.3 教师投入教学措施</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_Toc28198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11524090">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_Toc17459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szCs w:val="32"/>
          <w:lang w:val="en-US" w:eastAsia="zh-CN"/>
        </w:rPr>
        <w:t>4.4 促进教师发展</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_Toc17459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588FDB9C">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_Toc18817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szCs w:val="32"/>
          <w:lang w:val="en-US" w:eastAsia="zh-CN"/>
        </w:rPr>
        <w:t>4.5 存在的问题、原因分析及下一步整改举</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_Toc18817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3051EC9F">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_Toc28258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szCs w:val="32"/>
          <w:lang w:val="en-US" w:eastAsia="zh-CN"/>
        </w:rPr>
        <w:t>5. 学生发展</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_Toc28258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10D4029F">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_Toc20657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szCs w:val="32"/>
          <w:lang w:val="en-US" w:eastAsia="zh-CN"/>
        </w:rPr>
        <w:t>5.1 理想信念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_Toc20657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29FCDFB8">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_Toc25802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val="0"/>
          <w:lang w:val="en-US" w:eastAsia="zh-CN"/>
        </w:rPr>
        <w:t>5.2学业成绩及综合素质.</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_Toc25802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5D91F48E">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_Toc6529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val="0"/>
          <w:lang w:val="en-US" w:eastAsia="zh-CN" w:bidi="zh-CN"/>
        </w:rPr>
        <w:t>5.3国际视野.</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_Toc6529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14A27AF7">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_Toc23347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val="0"/>
          <w:lang w:val="en-US" w:eastAsia="zh-CN"/>
        </w:rPr>
        <w:t>5.4支持服务.</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_Toc23347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7C26B7AA">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_Toc8077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szCs w:val="32"/>
          <w:lang w:val="en-US" w:eastAsia="zh-CN"/>
        </w:rPr>
        <w:t>6. 质量保障</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_Toc8077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63CA460B">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_Toc31583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szCs w:val="32"/>
          <w:lang w:val="en-US" w:eastAsia="zh-CN"/>
        </w:rPr>
        <w:t>6.1 质量管理</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_Toc31583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44A462E3">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_Toc4491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szCs w:val="32"/>
          <w:lang w:val="en-US" w:eastAsia="zh-CN"/>
        </w:rPr>
        <w:t>6.2 质量改进</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_Toc4491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6ED37B00">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_Toc357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szCs w:val="32"/>
          <w:lang w:val="en-US" w:eastAsia="zh-CN"/>
        </w:rPr>
        <w:t>6.3 质量文化</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_Toc357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387D71CB">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_Toc11095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szCs w:val="32"/>
          <w:lang w:val="en-US" w:eastAsia="zh-CN"/>
        </w:rPr>
        <w:t>6.4 存在的问题、原因分析及下一步整改举措</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_Toc11095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3E99D1C0">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_Toc2769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szCs w:val="32"/>
          <w:lang w:val="zh-CN" w:eastAsia="zh-CN"/>
        </w:rPr>
        <w:t>7.教学成效</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_Toc2769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5372C54F">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_Toc6669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szCs w:val="32"/>
          <w:lang w:val="zh-CN" w:eastAsia="zh-CN"/>
        </w:rPr>
        <w:t>7.1 达成度</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_Toc6669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7BFB0BFF">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_Toc4435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szCs w:val="32"/>
          <w:lang w:val="zh-CN" w:eastAsia="zh-CN"/>
        </w:rPr>
        <w:t>7.</w:t>
      </w:r>
      <w:r>
        <w:rPr>
          <w:rFonts w:hint="eastAsia" w:asciiTheme="minorEastAsia" w:hAnsiTheme="minorEastAsia" w:eastAsiaTheme="minorEastAsia" w:cstheme="minorEastAsia"/>
          <w:bCs/>
          <w:szCs w:val="32"/>
          <w:lang w:val="en-US" w:eastAsia="zh-CN"/>
        </w:rPr>
        <w:t>2</w:t>
      </w:r>
      <w:r>
        <w:rPr>
          <w:rFonts w:hint="eastAsia" w:asciiTheme="minorEastAsia" w:hAnsiTheme="minorEastAsia" w:eastAsiaTheme="minorEastAsia" w:cstheme="minorEastAsia"/>
          <w:bCs/>
          <w:szCs w:val="32"/>
          <w:lang w:val="zh-CN" w:eastAsia="zh-CN"/>
        </w:rPr>
        <w:t xml:space="preserve"> 保障度</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_Toc4435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05F034A7">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_Toc23545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szCs w:val="32"/>
          <w:lang w:val="zh-CN" w:eastAsia="zh-CN"/>
        </w:rPr>
        <w:t>7.</w:t>
      </w:r>
      <w:r>
        <w:rPr>
          <w:rFonts w:hint="eastAsia" w:asciiTheme="minorEastAsia" w:hAnsiTheme="minorEastAsia" w:eastAsiaTheme="minorEastAsia" w:cstheme="minorEastAsia"/>
          <w:bCs/>
          <w:szCs w:val="32"/>
          <w:lang w:val="en-US" w:eastAsia="zh-CN"/>
        </w:rPr>
        <w:t>3</w:t>
      </w:r>
      <w:r>
        <w:rPr>
          <w:rFonts w:hint="eastAsia" w:asciiTheme="minorEastAsia" w:hAnsiTheme="minorEastAsia" w:eastAsiaTheme="minorEastAsia" w:cstheme="minorEastAsia"/>
          <w:bCs/>
          <w:szCs w:val="32"/>
          <w:lang w:val="zh-CN" w:eastAsia="zh-CN"/>
        </w:rPr>
        <w:t xml:space="preserve"> 有效度</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_Toc23545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52B2B6C5">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_Toc24169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szCs w:val="32"/>
          <w:lang w:val="zh-CN" w:eastAsia="zh-CN"/>
        </w:rPr>
        <w:t>7.</w:t>
      </w:r>
      <w:r>
        <w:rPr>
          <w:rFonts w:hint="eastAsia" w:asciiTheme="minorEastAsia" w:hAnsiTheme="minorEastAsia" w:eastAsiaTheme="minorEastAsia" w:cstheme="minorEastAsia"/>
          <w:bCs/>
          <w:szCs w:val="32"/>
          <w:lang w:val="en-US" w:eastAsia="zh-CN"/>
        </w:rPr>
        <w:t xml:space="preserve">4 </w:t>
      </w:r>
      <w:r>
        <w:rPr>
          <w:rFonts w:hint="eastAsia" w:asciiTheme="minorEastAsia" w:hAnsiTheme="minorEastAsia" w:eastAsiaTheme="minorEastAsia" w:cstheme="minorEastAsia"/>
          <w:bCs/>
          <w:szCs w:val="32"/>
          <w:lang w:val="zh-CN" w:eastAsia="zh-CN"/>
        </w:rPr>
        <w:t>满意度</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_Toc24169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763D0C79">
      <w:pPr>
        <w:pStyle w:val="12"/>
        <w:tabs>
          <w:tab w:val="right" w:leader="dot" w:pos="8848"/>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_Toc2341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bCs/>
          <w:szCs w:val="32"/>
          <w:lang w:val="zh-CN" w:eastAsia="zh-CN"/>
        </w:rPr>
        <w:t>7.</w:t>
      </w:r>
      <w:r>
        <w:rPr>
          <w:rFonts w:hint="eastAsia" w:asciiTheme="minorEastAsia" w:hAnsiTheme="minorEastAsia" w:eastAsiaTheme="minorEastAsia" w:cstheme="minorEastAsia"/>
          <w:bCs/>
          <w:szCs w:val="32"/>
          <w:lang w:val="en-US" w:eastAsia="zh-CN"/>
        </w:rPr>
        <w:t>5</w:t>
      </w:r>
      <w:r>
        <w:rPr>
          <w:rFonts w:hint="eastAsia" w:asciiTheme="minorEastAsia" w:hAnsiTheme="minorEastAsia" w:eastAsiaTheme="minorEastAsia" w:cstheme="minorEastAsia"/>
          <w:bCs/>
          <w:szCs w:val="32"/>
          <w:lang w:val="zh-CN" w:eastAsia="zh-CN"/>
        </w:rPr>
        <w:t xml:space="preserve"> 存在的问题、原因分析及下一步整改举措</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_Toc2341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70510673">
      <w:pPr>
        <w:pStyle w:val="12"/>
        <w:tabs>
          <w:tab w:val="right" w:leader="dot" w:pos="8848"/>
        </w:tabs>
        <w:ind w:left="0" w:leftChars="0" w:firstLine="0" w:firstLineChars="0"/>
        <w:rPr>
          <w:rFonts w:hint="eastAsia" w:asciiTheme="minorEastAsia" w:hAnsiTheme="minorEastAsia" w:eastAsiaTheme="minorEastAsia" w:cstheme="minorEastAsia"/>
          <w:b/>
          <w:bCs w:val="0"/>
        </w:rPr>
      </w:pPr>
      <w:r>
        <w:rPr>
          <w:rFonts w:hint="eastAsia" w:asciiTheme="minorEastAsia" w:hAnsiTheme="minorEastAsia" w:eastAsiaTheme="minorEastAsia" w:cstheme="minorEastAsia"/>
          <w:b/>
          <w:bCs w:val="0"/>
          <w:color w:val="auto"/>
          <w:lang w:val="en-US" w:eastAsia="zh-CN"/>
        </w:rPr>
        <w:fldChar w:fldCharType="begin"/>
      </w:r>
      <w:r>
        <w:rPr>
          <w:rFonts w:hint="eastAsia" w:asciiTheme="minorEastAsia" w:hAnsiTheme="minorEastAsia" w:eastAsiaTheme="minorEastAsia" w:cstheme="minorEastAsia"/>
          <w:b/>
          <w:bCs w:val="0"/>
          <w:lang w:val="en-US" w:eastAsia="zh-CN"/>
        </w:rPr>
        <w:instrText xml:space="preserve"> HYPERLINK \l _Toc15296 </w:instrText>
      </w:r>
      <w:r>
        <w:rPr>
          <w:rFonts w:hint="eastAsia" w:asciiTheme="minorEastAsia" w:hAnsiTheme="minorEastAsia" w:eastAsiaTheme="minorEastAsia" w:cstheme="minorEastAsia"/>
          <w:b/>
          <w:bCs w:val="0"/>
          <w:lang w:val="en-US" w:eastAsia="zh-CN"/>
        </w:rPr>
        <w:fldChar w:fldCharType="separate"/>
      </w:r>
      <w:r>
        <w:rPr>
          <w:rFonts w:hint="eastAsia" w:asciiTheme="minorEastAsia" w:hAnsiTheme="minorEastAsia" w:eastAsiaTheme="minorEastAsia" w:cstheme="minorEastAsia"/>
          <w:b/>
          <w:bCs w:val="0"/>
          <w:lang w:eastAsia="zh-CN"/>
        </w:rPr>
        <w:t>第四部分</w:t>
      </w:r>
      <w:r>
        <w:rPr>
          <w:rFonts w:hint="eastAsia" w:asciiTheme="minorEastAsia" w:hAnsiTheme="minorEastAsia" w:eastAsiaTheme="minorEastAsia" w:cstheme="minorEastAsia"/>
          <w:b/>
          <w:bCs w:val="0"/>
          <w:lang w:val="en-US" w:eastAsia="zh-CN"/>
        </w:rPr>
        <w:t xml:space="preserve">  附录</w:t>
      </w:r>
      <w:r>
        <w:rPr>
          <w:rFonts w:hint="eastAsia" w:asciiTheme="minorEastAsia" w:hAnsiTheme="minorEastAsia" w:eastAsiaTheme="minorEastAsia" w:cstheme="minorEastAsia"/>
          <w:b/>
          <w:bCs w:val="0"/>
        </w:rPr>
        <w:tab/>
      </w:r>
      <w:r>
        <w:rPr>
          <w:rFonts w:hint="eastAsia" w:asciiTheme="minorEastAsia" w:hAnsiTheme="minorEastAsia" w:eastAsiaTheme="minorEastAsia" w:cstheme="minorEastAsia"/>
          <w:b/>
          <w:bCs w:val="0"/>
        </w:rPr>
        <w:fldChar w:fldCharType="begin"/>
      </w:r>
      <w:r>
        <w:rPr>
          <w:rFonts w:hint="eastAsia" w:asciiTheme="minorEastAsia" w:hAnsiTheme="minorEastAsia" w:eastAsiaTheme="minorEastAsia" w:cstheme="minorEastAsia"/>
          <w:b/>
          <w:bCs w:val="0"/>
        </w:rPr>
        <w:instrText xml:space="preserve"> PAGEREF _Toc15296 \h </w:instrText>
      </w:r>
      <w:r>
        <w:rPr>
          <w:rFonts w:hint="eastAsia" w:asciiTheme="minorEastAsia" w:hAnsiTheme="minorEastAsia" w:eastAsiaTheme="minorEastAsia" w:cstheme="minorEastAsia"/>
          <w:b/>
          <w:bCs w:val="0"/>
        </w:rPr>
        <w:fldChar w:fldCharType="separate"/>
      </w:r>
      <w:r>
        <w:rPr>
          <w:rFonts w:hint="eastAsia" w:asciiTheme="minorEastAsia" w:hAnsiTheme="minorEastAsia" w:eastAsiaTheme="minorEastAsia" w:cstheme="minorEastAsia"/>
          <w:b/>
          <w:bCs w:val="0"/>
        </w:rPr>
        <w:t>51</w:t>
      </w:r>
      <w:r>
        <w:rPr>
          <w:rFonts w:hint="eastAsia" w:asciiTheme="minorEastAsia" w:hAnsiTheme="minorEastAsia" w:eastAsiaTheme="minorEastAsia" w:cstheme="minorEastAsia"/>
          <w:b/>
          <w:bCs w:val="0"/>
        </w:rPr>
        <w:fldChar w:fldCharType="end"/>
      </w:r>
      <w:r>
        <w:rPr>
          <w:rFonts w:hint="eastAsia" w:asciiTheme="minorEastAsia" w:hAnsiTheme="minorEastAsia" w:eastAsiaTheme="minorEastAsia" w:cstheme="minorEastAsia"/>
          <w:b/>
          <w:bCs w:val="0"/>
          <w:color w:val="auto"/>
          <w:lang w:val="en-US" w:eastAsia="zh-CN"/>
        </w:rPr>
        <w:fldChar w:fldCharType="end"/>
      </w:r>
    </w:p>
    <w:p w14:paraId="57679DCD">
      <w:pPr>
        <w:pStyle w:val="14"/>
        <w:keepNext w:val="0"/>
        <w:keepLines w:val="0"/>
        <w:pageBreakBefore w:val="0"/>
        <w:widowControl w:val="0"/>
        <w:tabs>
          <w:tab w:val="right" w:leader="dot" w:pos="8848"/>
        </w:tabs>
        <w:kinsoku/>
        <w:wordWrap/>
        <w:overflowPunct/>
        <w:topLinePunct w:val="0"/>
        <w:autoSpaceDE w:val="0"/>
        <w:autoSpaceDN w:val="0"/>
        <w:bidi w:val="0"/>
        <w:adjustRightInd/>
        <w:snapToGrid/>
        <w:spacing w:line="317" w:lineRule="auto"/>
        <w:ind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_Toc8330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rPr>
        <w:t xml:space="preserve">附 </w:t>
      </w:r>
      <w:r>
        <w:rPr>
          <w:rFonts w:hint="eastAsia" w:asciiTheme="minorEastAsia" w:hAnsiTheme="minorEastAsia" w:eastAsiaTheme="minorEastAsia" w:cstheme="minorEastAsia"/>
          <w:lang w:eastAsia="zh-CN"/>
        </w:rPr>
        <w:t>录</w:t>
      </w:r>
      <w:r>
        <w:rPr>
          <w:rFonts w:hint="eastAsia" w:asciiTheme="minorEastAsia" w:hAnsiTheme="minorEastAsia" w:eastAsiaTheme="minorEastAsia" w:cstheme="minorEastAsia"/>
        </w:rPr>
        <w:t>1:</w:t>
      </w:r>
      <w:r>
        <w:rPr>
          <w:rFonts w:hint="eastAsia" w:asciiTheme="minorEastAsia" w:hAnsiTheme="minorEastAsia" w:eastAsiaTheme="minorEastAsia" w:cstheme="minorEastAsia"/>
          <w:bCs w:val="0"/>
          <w:spacing w:val="-3"/>
          <w:szCs w:val="30"/>
        </w:rPr>
        <w:t>本科教育教学自评</w:t>
      </w:r>
      <w:r>
        <w:rPr>
          <w:rFonts w:hint="eastAsia" w:asciiTheme="minorEastAsia" w:hAnsiTheme="minorEastAsia" w:eastAsiaTheme="minorEastAsia" w:cstheme="minorEastAsia"/>
          <w:bCs w:val="0"/>
          <w:spacing w:val="-3"/>
          <w:szCs w:val="30"/>
          <w:lang w:eastAsia="zh-CN"/>
        </w:rPr>
        <w:t>分及</w:t>
      </w:r>
      <w:r>
        <w:rPr>
          <w:rFonts w:hint="eastAsia" w:asciiTheme="minorEastAsia" w:hAnsiTheme="minorEastAsia" w:eastAsiaTheme="minorEastAsia" w:cstheme="minorEastAsia"/>
          <w:bCs w:val="0"/>
          <w:spacing w:val="-3"/>
          <w:szCs w:val="30"/>
        </w:rPr>
        <w:t>问题清单</w:t>
      </w:r>
      <w:r>
        <w:rPr>
          <w:rFonts w:hint="eastAsia" w:asciiTheme="minorEastAsia" w:hAnsiTheme="minorEastAsia" w:eastAsiaTheme="minorEastAsia" w:cstheme="minorEastAsia"/>
          <w:bCs w:val="0"/>
          <w:spacing w:val="-3"/>
          <w:szCs w:val="30"/>
          <w:lang w:eastAsia="zh-CN"/>
        </w:rPr>
        <w:t>一览</w:t>
      </w:r>
      <w:r>
        <w:rPr>
          <w:rFonts w:hint="eastAsia" w:asciiTheme="minorEastAsia" w:hAnsiTheme="minorEastAsia" w:eastAsiaTheme="minorEastAsia" w:cstheme="minorEastAsia"/>
          <w:bCs w:val="0"/>
          <w:spacing w:val="-3"/>
          <w:szCs w:val="30"/>
        </w:rPr>
        <w:t>表</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_Toc8330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6B8CCB93">
      <w:pPr>
        <w:pStyle w:val="14"/>
        <w:keepNext w:val="0"/>
        <w:keepLines w:val="0"/>
        <w:pageBreakBefore w:val="0"/>
        <w:widowControl w:val="0"/>
        <w:tabs>
          <w:tab w:val="right" w:leader="dot" w:pos="8848"/>
        </w:tabs>
        <w:kinsoku/>
        <w:wordWrap/>
        <w:overflowPunct/>
        <w:topLinePunct w:val="0"/>
        <w:autoSpaceDE w:val="0"/>
        <w:autoSpaceDN w:val="0"/>
        <w:bidi w:val="0"/>
        <w:adjustRightInd/>
        <w:snapToGrid/>
        <w:spacing w:line="317" w:lineRule="auto"/>
        <w:ind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_Toc15689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_Toc15689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4F84E67F">
      <w:pPr>
        <w:pStyle w:val="14"/>
        <w:keepNext w:val="0"/>
        <w:keepLines w:val="0"/>
        <w:pageBreakBefore w:val="0"/>
        <w:widowControl w:val="0"/>
        <w:tabs>
          <w:tab w:val="right" w:leader="dot" w:pos="8848"/>
        </w:tabs>
        <w:kinsoku/>
        <w:wordWrap/>
        <w:overflowPunct/>
        <w:topLinePunct w:val="0"/>
        <w:autoSpaceDE w:val="0"/>
        <w:autoSpaceDN w:val="0"/>
        <w:bidi w:val="0"/>
        <w:adjustRightInd/>
        <w:snapToGrid/>
        <w:spacing w:line="317" w:lineRule="auto"/>
        <w:ind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_Toc740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rPr>
        <w:t>附</w:t>
      </w:r>
      <w:r>
        <w:rPr>
          <w:rFonts w:hint="eastAsia" w:asciiTheme="minorEastAsia" w:hAnsiTheme="minorEastAsia" w:eastAsiaTheme="minorEastAsia" w:cstheme="minorEastAsia"/>
          <w:lang w:eastAsia="zh-CN"/>
        </w:rPr>
        <w:t>录</w:t>
      </w:r>
      <w:r>
        <w:rPr>
          <w:rFonts w:hint="eastAsia" w:asciiTheme="minorEastAsia" w:hAnsiTheme="minorEastAsia" w:eastAsiaTheme="minorEastAsia" w:cstheme="minorEastAsia"/>
        </w:rPr>
        <w:t xml:space="preserve"> 2:</w:t>
      </w:r>
      <w:r>
        <w:rPr>
          <w:rFonts w:hint="eastAsia" w:asciiTheme="minorEastAsia" w:hAnsiTheme="minorEastAsia" w:eastAsiaTheme="minorEastAsia" w:cstheme="minorEastAsia"/>
          <w:szCs w:val="30"/>
        </w:rPr>
        <w:t>《自评报告》数据与《本科教学状态数据分析报告》数据不一致的情况说明</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_Toc740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6DAE6C77">
      <w:pPr>
        <w:pStyle w:val="14"/>
        <w:keepNext w:val="0"/>
        <w:keepLines w:val="0"/>
        <w:pageBreakBefore w:val="0"/>
        <w:widowControl w:val="0"/>
        <w:tabs>
          <w:tab w:val="right" w:leader="dot" w:pos="8848"/>
        </w:tabs>
        <w:kinsoku/>
        <w:wordWrap/>
        <w:overflowPunct/>
        <w:topLinePunct w:val="0"/>
        <w:autoSpaceDE w:val="0"/>
        <w:autoSpaceDN w:val="0"/>
        <w:bidi w:val="0"/>
        <w:adjustRightInd/>
        <w:snapToGrid/>
        <w:spacing w:line="317" w:lineRule="auto"/>
        <w:ind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lang w:val="en-US" w:eastAsia="zh-CN"/>
        </w:rPr>
        <w:fldChar w:fldCharType="begin"/>
      </w:r>
      <w:r>
        <w:rPr>
          <w:rFonts w:hint="eastAsia" w:asciiTheme="minorEastAsia" w:hAnsiTheme="minorEastAsia" w:eastAsiaTheme="minorEastAsia" w:cstheme="minorEastAsia"/>
          <w:bCs/>
          <w:lang w:val="en-US" w:eastAsia="zh-CN"/>
        </w:rPr>
        <w:instrText xml:space="preserve"> HYPERLINK \l _Toc17057 </w:instrText>
      </w:r>
      <w:r>
        <w:rPr>
          <w:rFonts w:hint="eastAsia" w:asciiTheme="minorEastAsia" w:hAnsiTheme="minorEastAsia" w:eastAsiaTheme="minorEastAsia" w:cstheme="minorEastAsia"/>
          <w:bCs/>
          <w:lang w:val="en-US" w:eastAsia="zh-CN"/>
        </w:rPr>
        <w:fldChar w:fldCharType="separate"/>
      </w:r>
      <w:r>
        <w:rPr>
          <w:rFonts w:hint="eastAsia" w:asciiTheme="minorEastAsia" w:hAnsiTheme="minorEastAsia" w:eastAsiaTheme="minorEastAsia" w:cstheme="minorEastAsia"/>
          <w:lang w:val="zh-CN" w:eastAsia="zh-CN"/>
        </w:rPr>
        <w:t>附录 3：</w:t>
      </w:r>
      <w:r>
        <w:rPr>
          <w:rFonts w:hint="eastAsia" w:asciiTheme="minorEastAsia" w:hAnsiTheme="minorEastAsia" w:eastAsiaTheme="minorEastAsia" w:cstheme="minorEastAsia"/>
          <w:szCs w:val="30"/>
          <w:lang w:val="zh-CN" w:eastAsia="zh-CN"/>
        </w:rPr>
        <w:t>主要支撑材料目录</w:t>
      </w:r>
      <w:r>
        <w:rPr>
          <w:rFonts w:hint="eastAsia" w:asciiTheme="minorEastAsia" w:hAnsiTheme="minorEastAsia" w:eastAsiaTheme="minorEastAsia" w:cstheme="minorEastAsia"/>
          <w:szCs w:val="30"/>
        </w:rPr>
        <w:t>（参考格式）</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_Toc17057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lang w:val="en-US" w:eastAsia="zh-CN"/>
        </w:rPr>
        <w:fldChar w:fldCharType="end"/>
      </w:r>
    </w:p>
    <w:p w14:paraId="4C390A56">
      <w:pPr>
        <w:keepNext w:val="0"/>
        <w:keepLines w:val="0"/>
        <w:pageBreakBefore w:val="0"/>
        <w:widowControl w:val="0"/>
        <w:kinsoku/>
        <w:wordWrap/>
        <w:overflowPunct/>
        <w:topLinePunct w:val="0"/>
        <w:autoSpaceDE w:val="0"/>
        <w:autoSpaceDN w:val="0"/>
        <w:bidi w:val="0"/>
        <w:adjustRightInd/>
        <w:snapToGrid/>
        <w:spacing w:line="317" w:lineRule="auto"/>
        <w:ind w:left="0" w:leftChars="0" w:right="0" w:firstLine="0" w:firstLineChars="0"/>
        <w:jc w:val="center"/>
        <w:textAlignment w:val="auto"/>
        <w:rPr>
          <w:rFonts w:hint="default" w:ascii="Times New Roman" w:hAnsi="Times New Roman" w:cs="Times New Roman"/>
          <w:b/>
          <w:bCs/>
          <w:color w:val="auto"/>
          <w:lang w:val="en-US" w:eastAsia="zh-CN"/>
        </w:rPr>
        <w:sectPr>
          <w:footerReference r:id="rId6" w:type="default"/>
          <w:type w:val="continuous"/>
          <w:pgSz w:w="11910" w:h="16840"/>
          <w:pgMar w:top="1417" w:right="1531" w:bottom="1304" w:left="1531" w:header="0" w:footer="964" w:gutter="0"/>
          <w:pgNumType w:fmt="decimal" w:start="1"/>
          <w:cols w:space="0" w:num="1"/>
          <w:rtlGutter w:val="0"/>
          <w:docGrid w:linePitch="0" w:charSpace="0"/>
        </w:sectPr>
      </w:pPr>
      <w:r>
        <w:rPr>
          <w:rFonts w:hint="default" w:ascii="Times New Roman" w:hAnsi="Times New Roman" w:cs="Times New Roman"/>
          <w:bCs/>
          <w:color w:val="auto"/>
          <w:lang w:val="en-US" w:eastAsia="zh-CN"/>
        </w:rPr>
        <w:fldChar w:fldCharType="end"/>
      </w:r>
    </w:p>
    <w:p w14:paraId="1CC2CBC7">
      <w:pPr>
        <w:pStyle w:val="2"/>
        <w:keepNext w:val="0"/>
        <w:keepLines w:val="0"/>
        <w:pageBreakBefore w:val="0"/>
        <w:widowControl w:val="0"/>
        <w:kinsoku/>
        <w:wordWrap/>
        <w:overflowPunct/>
        <w:topLinePunct w:val="0"/>
        <w:autoSpaceDE w:val="0"/>
        <w:autoSpaceDN w:val="0"/>
        <w:bidi w:val="0"/>
        <w:adjustRightInd/>
        <w:snapToGrid/>
        <w:spacing w:line="317" w:lineRule="auto"/>
        <w:ind w:left="0" w:leftChars="0" w:right="0" w:firstLine="0" w:firstLineChars="0"/>
        <w:jc w:val="center"/>
        <w:textAlignment w:val="auto"/>
        <w:rPr>
          <w:rFonts w:ascii="Times New Roman" w:hAnsi="Times New Roman" w:cs="Times New Roman"/>
          <w:b/>
          <w:bCs/>
          <w:color w:val="auto"/>
        </w:rPr>
      </w:pPr>
      <w:bookmarkStart w:id="7" w:name="_Toc5474"/>
      <w:r>
        <w:rPr>
          <w:rFonts w:hint="eastAsia" w:ascii="Times New Roman" w:hAnsi="Times New Roman" w:cs="Times New Roman"/>
          <w:b/>
          <w:bCs/>
          <w:color w:val="auto"/>
          <w:lang w:val="en-US" w:eastAsia="zh-CN"/>
        </w:rPr>
        <w:t xml:space="preserve">第一部分   </w:t>
      </w:r>
      <w:r>
        <w:rPr>
          <w:rFonts w:ascii="Times New Roman" w:hAnsi="Times New Roman" w:cs="Times New Roman"/>
          <w:b/>
          <w:bCs/>
          <w:color w:val="auto"/>
        </w:rPr>
        <w:t>学院简介</w:t>
      </w:r>
      <w:bookmarkEnd w:id="7"/>
    </w:p>
    <w:p w14:paraId="1492DE6E">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0" w:right="0" w:firstLine="560" w:firstLineChars="200"/>
        <w:jc w:val="left"/>
        <w:textAlignment w:val="auto"/>
        <w:rPr>
          <w:rFonts w:hint="eastAsia"/>
          <w:color w:val="auto"/>
        </w:rPr>
      </w:pPr>
      <w:r>
        <w:rPr>
          <w:rFonts w:hint="eastAsia"/>
          <w:color w:val="auto"/>
        </w:rPr>
        <w:t>体育部是学校二级教学单位，</w:t>
      </w:r>
      <w:r>
        <w:rPr>
          <w:rFonts w:hint="eastAsia"/>
          <w:color w:val="auto"/>
          <w:lang w:val="en-US" w:eastAsia="zh-CN"/>
        </w:rPr>
        <w:t>前身是基础课部，2008年成立体育部。现</w:t>
      </w:r>
      <w:r>
        <w:rPr>
          <w:rFonts w:hint="eastAsia"/>
          <w:color w:val="auto"/>
        </w:rPr>
        <w:t>拥有2</w:t>
      </w:r>
      <w:r>
        <w:rPr>
          <w:rFonts w:hint="eastAsia"/>
          <w:color w:val="auto"/>
          <w:lang w:val="en-US" w:eastAsia="zh-CN"/>
        </w:rPr>
        <w:t>1</w:t>
      </w:r>
      <w:r>
        <w:rPr>
          <w:rFonts w:hint="eastAsia"/>
          <w:color w:val="auto"/>
        </w:rPr>
        <w:t>名教职员工，其中教授2</w:t>
      </w:r>
      <w:r>
        <w:rPr>
          <w:rFonts w:hint="eastAsia"/>
          <w:color w:val="auto"/>
          <w:lang w:val="en-US" w:eastAsia="zh-CN"/>
        </w:rPr>
        <w:t>人</w:t>
      </w:r>
      <w:r>
        <w:rPr>
          <w:rFonts w:hint="eastAsia"/>
          <w:color w:val="auto"/>
        </w:rPr>
        <w:t>、副教授5</w:t>
      </w:r>
      <w:r>
        <w:rPr>
          <w:rFonts w:hint="eastAsia"/>
          <w:color w:val="auto"/>
          <w:lang w:val="en-US" w:eastAsia="zh-CN"/>
        </w:rPr>
        <w:t>人</w:t>
      </w:r>
      <w:r>
        <w:rPr>
          <w:rFonts w:hint="eastAsia"/>
          <w:color w:val="auto"/>
        </w:rPr>
        <w:t>，</w:t>
      </w:r>
      <w:r>
        <w:rPr>
          <w:rFonts w:hint="eastAsia"/>
          <w:color w:val="auto"/>
          <w:lang w:val="en-US" w:eastAsia="zh-CN"/>
        </w:rPr>
        <w:t>具</w:t>
      </w:r>
      <w:r>
        <w:rPr>
          <w:rFonts w:hint="eastAsia"/>
          <w:color w:val="auto"/>
        </w:rPr>
        <w:t>有硕士</w:t>
      </w:r>
      <w:r>
        <w:rPr>
          <w:rFonts w:hint="eastAsia"/>
          <w:color w:val="auto"/>
          <w:lang w:val="en-US" w:eastAsia="zh-CN"/>
        </w:rPr>
        <w:t>及以上</w:t>
      </w:r>
      <w:r>
        <w:rPr>
          <w:rFonts w:hint="eastAsia"/>
          <w:color w:val="auto"/>
        </w:rPr>
        <w:t>学位17人</w:t>
      </w:r>
      <w:r>
        <w:rPr>
          <w:rFonts w:hint="eastAsia"/>
          <w:color w:val="auto"/>
          <w:lang w:eastAsia="zh-CN"/>
        </w:rPr>
        <w:t>，</w:t>
      </w:r>
      <w:r>
        <w:rPr>
          <w:rFonts w:hint="eastAsia"/>
          <w:color w:val="auto"/>
          <w:lang w:val="en-US" w:eastAsia="zh-CN"/>
        </w:rPr>
        <w:t>博士3人</w:t>
      </w:r>
      <w:r>
        <w:rPr>
          <w:rFonts w:hint="eastAsia"/>
          <w:color w:val="auto"/>
        </w:rPr>
        <w:t>。部门设有形体训练、大学体育和体育竞赛三个教研室，</w:t>
      </w:r>
      <w:r>
        <w:rPr>
          <w:rFonts w:hint="eastAsia"/>
          <w:color w:val="auto"/>
          <w:lang w:val="en-US" w:eastAsia="zh-CN"/>
        </w:rPr>
        <w:t>一个学生健康体质测试中心、一个女性体育研究所。</w:t>
      </w:r>
      <w:r>
        <w:rPr>
          <w:rFonts w:hint="eastAsia"/>
          <w:color w:val="auto"/>
        </w:rPr>
        <w:t>负责全校公共体育教学、课外阳光体育活动</w:t>
      </w:r>
      <w:r>
        <w:rPr>
          <w:rFonts w:hint="eastAsia"/>
          <w:color w:val="auto"/>
          <w:lang w:eastAsia="zh-CN"/>
        </w:rPr>
        <w:t>、</w:t>
      </w:r>
      <w:r>
        <w:rPr>
          <w:rFonts w:hint="eastAsia"/>
          <w:color w:val="auto"/>
          <w:lang w:val="en-US" w:eastAsia="zh-CN"/>
        </w:rPr>
        <w:t>运动竞赛</w:t>
      </w:r>
      <w:r>
        <w:rPr>
          <w:rFonts w:hint="eastAsia"/>
          <w:color w:val="auto"/>
        </w:rPr>
        <w:t>等。部门拥有完善的教学</w:t>
      </w:r>
      <w:r>
        <w:rPr>
          <w:rFonts w:hint="eastAsia"/>
          <w:color w:val="auto"/>
          <w:lang w:val="en-US" w:eastAsia="zh-CN"/>
        </w:rPr>
        <w:t>体育</w:t>
      </w:r>
      <w:r>
        <w:rPr>
          <w:rFonts w:hint="eastAsia"/>
          <w:color w:val="auto"/>
        </w:rPr>
        <w:t>设施，包括</w:t>
      </w:r>
      <w:r>
        <w:rPr>
          <w:rFonts w:hint="eastAsia"/>
          <w:color w:val="auto"/>
          <w:lang w:val="en-US" w:eastAsia="zh-CN"/>
        </w:rPr>
        <w:t>1个</w:t>
      </w:r>
      <w:r>
        <w:rPr>
          <w:rFonts w:hint="eastAsia"/>
          <w:color w:val="auto"/>
        </w:rPr>
        <w:t>多功能体育馆、</w:t>
      </w:r>
      <w:r>
        <w:rPr>
          <w:rFonts w:hint="eastAsia"/>
          <w:color w:val="auto"/>
          <w:lang w:val="en-US" w:eastAsia="zh-CN"/>
        </w:rPr>
        <w:t>1个</w:t>
      </w:r>
      <w:r>
        <w:rPr>
          <w:rFonts w:hint="eastAsia"/>
          <w:color w:val="auto"/>
        </w:rPr>
        <w:t>标准田径场</w:t>
      </w:r>
      <w:r>
        <w:rPr>
          <w:rFonts w:hint="eastAsia"/>
          <w:color w:val="auto"/>
          <w:lang w:eastAsia="zh-CN"/>
        </w:rPr>
        <w:t>、</w:t>
      </w:r>
      <w:r>
        <w:rPr>
          <w:rFonts w:hint="eastAsia"/>
          <w:color w:val="auto"/>
          <w:lang w:val="en-US" w:eastAsia="zh-CN"/>
        </w:rPr>
        <w:t>1个风雨棚篮排球场、一个羽毛球馆、1个乒乓球馆、7个标准形体房，在建体育健身中心1个。</w:t>
      </w:r>
    </w:p>
    <w:p w14:paraId="01389C33">
      <w:pPr>
        <w:keepNext w:val="0"/>
        <w:keepLines w:val="0"/>
        <w:pageBreakBefore w:val="0"/>
        <w:widowControl w:val="0"/>
        <w:kinsoku/>
        <w:wordWrap/>
        <w:overflowPunct/>
        <w:topLinePunct w:val="0"/>
        <w:autoSpaceDE w:val="0"/>
        <w:autoSpaceDN w:val="0"/>
        <w:bidi w:val="0"/>
        <w:adjustRightInd/>
        <w:snapToGrid/>
        <w:spacing w:line="500" w:lineRule="exact"/>
        <w:ind w:left="0" w:right="0" w:firstLine="560" w:firstLineChars="200"/>
        <w:jc w:val="left"/>
        <w:textAlignment w:val="auto"/>
        <w:rPr>
          <w:rFonts w:hint="eastAsia"/>
          <w:color w:val="auto"/>
        </w:rPr>
      </w:pPr>
      <w:r>
        <w:rPr>
          <w:rFonts w:hint="eastAsia"/>
          <w:color w:val="auto"/>
          <w:lang w:val="en-US" w:eastAsia="zh-CN"/>
        </w:rPr>
        <w:t>近年来，</w:t>
      </w:r>
      <w:r>
        <w:rPr>
          <w:rFonts w:hint="eastAsia"/>
          <w:color w:val="auto"/>
        </w:rPr>
        <w:t>教师在国家级和省级期刊发表论文150余篇，</w:t>
      </w:r>
      <w:r>
        <w:rPr>
          <w:rFonts w:hint="eastAsia"/>
          <w:color w:val="auto"/>
          <w:lang w:val="en-US" w:eastAsia="zh-CN"/>
        </w:rPr>
        <w:t>立项省级以上科研课题、教改课题4</w:t>
      </w:r>
      <w:r>
        <w:rPr>
          <w:rFonts w:hint="eastAsia"/>
          <w:color w:val="auto"/>
        </w:rPr>
        <w:t>0余项，</w:t>
      </w:r>
      <w:r>
        <w:rPr>
          <w:rFonts w:hint="eastAsia"/>
          <w:color w:val="auto"/>
          <w:lang w:val="en-US" w:eastAsia="zh-CN"/>
        </w:rPr>
        <w:t>荣获省级教学成果奖4项。</w:t>
      </w:r>
      <w:r>
        <w:rPr>
          <w:rFonts w:hint="eastAsia" w:ascii="仿宋" w:hAnsi="仿宋" w:eastAsia="仿宋" w:cs="Times New Roman"/>
          <w:bCs/>
          <w:color w:val="auto"/>
          <w:spacing w:val="-12"/>
          <w:kern w:val="0"/>
          <w:sz w:val="28"/>
          <w:szCs w:val="28"/>
          <w:lang w:val="zh-CN" w:bidi="zh-CN"/>
        </w:rPr>
        <w:t>在近三届湖南省青年体育教师赛课中</w:t>
      </w:r>
      <w:r>
        <w:rPr>
          <w:rFonts w:hint="eastAsia" w:ascii="仿宋" w:hAnsi="仿宋" w:cs="Times New Roman"/>
          <w:bCs/>
          <w:color w:val="auto"/>
          <w:spacing w:val="-12"/>
          <w:kern w:val="0"/>
          <w:sz w:val="28"/>
          <w:szCs w:val="28"/>
          <w:lang w:val="en-US" w:bidi="zh-CN"/>
        </w:rPr>
        <w:t>6人次</w:t>
      </w:r>
      <w:r>
        <w:rPr>
          <w:rFonts w:hint="eastAsia" w:ascii="仿宋" w:hAnsi="仿宋" w:eastAsia="仿宋" w:cs="Times New Roman"/>
          <w:bCs/>
          <w:color w:val="auto"/>
          <w:spacing w:val="-12"/>
          <w:kern w:val="0"/>
          <w:sz w:val="28"/>
          <w:szCs w:val="28"/>
          <w:lang w:val="zh-CN" w:bidi="zh-CN"/>
        </w:rPr>
        <w:t>荣获一、二、三等奖。</w:t>
      </w:r>
      <w:r>
        <w:rPr>
          <w:rFonts w:hint="eastAsia"/>
          <w:color w:val="auto"/>
          <w:lang w:val="en-US" w:eastAsia="zh-CN"/>
        </w:rPr>
        <w:t>多人取</w:t>
      </w:r>
      <w:r>
        <w:rPr>
          <w:rFonts w:hint="eastAsia"/>
          <w:color w:val="auto"/>
        </w:rPr>
        <w:t>得</w:t>
      </w:r>
      <w:r>
        <w:rPr>
          <w:rFonts w:hint="eastAsia"/>
          <w:color w:val="auto"/>
          <w:lang w:val="en-US" w:eastAsia="zh-CN"/>
        </w:rPr>
        <w:t>篮球、乒乓球、羽毛球、健美操等项目</w:t>
      </w:r>
      <w:r>
        <w:rPr>
          <w:rFonts w:hint="eastAsia"/>
          <w:color w:val="auto"/>
        </w:rPr>
        <w:t>国家一级</w:t>
      </w:r>
      <w:r>
        <w:rPr>
          <w:rFonts w:hint="eastAsia"/>
          <w:color w:val="auto"/>
          <w:lang w:val="en-US" w:eastAsia="zh-CN"/>
        </w:rPr>
        <w:t>及以上</w:t>
      </w:r>
      <w:r>
        <w:rPr>
          <w:rFonts w:hint="eastAsia"/>
          <w:color w:val="auto"/>
        </w:rPr>
        <w:t>裁判员</w:t>
      </w:r>
      <w:r>
        <w:rPr>
          <w:rFonts w:hint="eastAsia"/>
          <w:color w:val="auto"/>
          <w:lang w:val="en-US" w:eastAsia="zh-CN"/>
        </w:rPr>
        <w:t>及国家级社会体育指导员资格</w:t>
      </w:r>
      <w:r>
        <w:rPr>
          <w:rFonts w:hint="eastAsia"/>
          <w:color w:val="auto"/>
        </w:rPr>
        <w:t>。</w:t>
      </w:r>
    </w:p>
    <w:p w14:paraId="3EA576BA">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0" w:right="0" w:firstLine="560" w:firstLineChars="200"/>
        <w:jc w:val="left"/>
        <w:textAlignment w:val="auto"/>
        <w:rPr>
          <w:rFonts w:hint="eastAsia" w:ascii="Times New Roman" w:hAnsi="Times New Roman" w:cs="Times New Roman"/>
          <w:b/>
          <w:bCs/>
          <w:color w:val="auto"/>
          <w:lang w:eastAsia="zh-CN"/>
        </w:rPr>
      </w:pPr>
      <w:r>
        <w:rPr>
          <w:rFonts w:hint="eastAsia"/>
          <w:color w:val="auto"/>
        </w:rPr>
        <w:t>体育部坚持以</w:t>
      </w:r>
      <w:r>
        <w:rPr>
          <w:rFonts w:hint="eastAsia"/>
          <w:color w:val="auto"/>
          <w:lang w:val="en-US" w:eastAsia="zh-CN"/>
        </w:rPr>
        <w:t>体育</w:t>
      </w:r>
      <w:r>
        <w:rPr>
          <w:rFonts w:hint="eastAsia"/>
          <w:color w:val="auto"/>
        </w:rPr>
        <w:t>教学为中心，根据</w:t>
      </w:r>
      <w:r>
        <w:rPr>
          <w:rFonts w:hint="eastAsia"/>
          <w:color w:val="auto"/>
          <w:lang w:val="en-US" w:eastAsia="zh-CN"/>
        </w:rPr>
        <w:t>我校</w:t>
      </w:r>
      <w:r>
        <w:rPr>
          <w:rFonts w:hint="eastAsia"/>
          <w:color w:val="auto"/>
        </w:rPr>
        <w:t>人才培养需求，构建了具有特色的体育课程体系，开设了形体、啦啦操</w:t>
      </w:r>
      <w:r>
        <w:rPr>
          <w:rFonts w:hint="eastAsia"/>
          <w:color w:val="auto"/>
          <w:lang w:eastAsia="zh-CN"/>
        </w:rPr>
        <w:t>、</w:t>
      </w:r>
      <w:r>
        <w:rPr>
          <w:rFonts w:hint="eastAsia"/>
          <w:color w:val="auto"/>
          <w:lang w:val="en-US" w:eastAsia="zh-CN"/>
        </w:rPr>
        <w:t>健美操、体育舞蹈、女子防身术</w:t>
      </w:r>
      <w:r>
        <w:rPr>
          <w:rFonts w:hint="eastAsia"/>
          <w:color w:val="auto"/>
        </w:rPr>
        <w:t>等女性特色课程。部门认真实施《学生体质健康标准》监测，每年体质测试合格率超90%</w:t>
      </w:r>
      <w:r>
        <w:rPr>
          <w:rFonts w:hint="eastAsia"/>
          <w:color w:val="auto"/>
          <w:lang w:val="en-US" w:eastAsia="zh-CN"/>
        </w:rPr>
        <w:t>以上</w:t>
      </w:r>
      <w:r>
        <w:rPr>
          <w:rFonts w:hint="eastAsia"/>
          <w:color w:val="auto"/>
        </w:rPr>
        <w:t>。同时，积极探索校园阳光体育活动，扩大学生参与基数，建立阳光体育与竞技体育相结合的</w:t>
      </w:r>
      <w:r>
        <w:rPr>
          <w:rFonts w:hint="eastAsia"/>
          <w:color w:val="auto"/>
          <w:lang w:val="en-US" w:eastAsia="zh-CN"/>
        </w:rPr>
        <w:t>校园体育文化建设</w:t>
      </w:r>
      <w:r>
        <w:rPr>
          <w:rFonts w:hint="eastAsia"/>
          <w:color w:val="auto"/>
        </w:rPr>
        <w:t>模式。</w:t>
      </w:r>
      <w:r>
        <w:rPr>
          <w:rFonts w:hint="eastAsia"/>
          <w:color w:val="auto"/>
          <w:lang w:val="en-US" w:eastAsia="zh-CN"/>
        </w:rPr>
        <w:t>体育部高度</w:t>
      </w:r>
      <w:r>
        <w:rPr>
          <w:rFonts w:hint="eastAsia"/>
          <w:color w:val="auto"/>
        </w:rPr>
        <w:t>重视</w:t>
      </w:r>
      <w:r>
        <w:rPr>
          <w:rFonts w:hint="eastAsia"/>
          <w:color w:val="auto"/>
          <w:lang w:val="en-US" w:eastAsia="zh-CN"/>
        </w:rPr>
        <w:t>学生</w:t>
      </w:r>
      <w:r>
        <w:rPr>
          <w:rFonts w:hint="eastAsia"/>
          <w:color w:val="auto"/>
        </w:rPr>
        <w:t>运动队建设，改善训练条件，积极参加各</w:t>
      </w:r>
      <w:r>
        <w:rPr>
          <w:rFonts w:hint="eastAsia"/>
          <w:color w:val="auto"/>
          <w:lang w:val="en-US" w:eastAsia="zh-CN"/>
        </w:rPr>
        <w:t>类</w:t>
      </w:r>
      <w:r>
        <w:rPr>
          <w:rFonts w:hint="eastAsia"/>
          <w:color w:val="auto"/>
        </w:rPr>
        <w:t>体育竞赛，近年来在国家、省（部）级比赛中荣获</w:t>
      </w:r>
      <w:r>
        <w:rPr>
          <w:rFonts w:hint="eastAsia"/>
          <w:color w:val="auto"/>
          <w:lang w:val="en-US" w:eastAsia="zh-CN"/>
        </w:rPr>
        <w:t>10</w:t>
      </w:r>
      <w:r>
        <w:rPr>
          <w:rFonts w:hint="eastAsia"/>
          <w:color w:val="auto"/>
        </w:rPr>
        <w:t>0余项金、银、铜牌</w:t>
      </w:r>
      <w:r>
        <w:rPr>
          <w:rFonts w:hint="eastAsia"/>
          <w:color w:val="auto"/>
          <w:lang w:eastAsia="zh-CN"/>
        </w:rPr>
        <w:t>，</w:t>
      </w:r>
      <w:r>
        <w:rPr>
          <w:rFonts w:hint="eastAsia"/>
          <w:color w:val="auto"/>
          <w:lang w:val="en-US" w:eastAsia="zh-CN"/>
        </w:rPr>
        <w:t>并多人荣获国家级、省级优秀教练员。</w:t>
      </w:r>
      <w:r>
        <w:rPr>
          <w:rFonts w:hint="eastAsia"/>
          <w:color w:val="auto"/>
        </w:rPr>
        <w:t>我校</w:t>
      </w:r>
      <w:r>
        <w:rPr>
          <w:rFonts w:hint="eastAsia"/>
          <w:color w:val="auto"/>
          <w:lang w:val="en-US" w:eastAsia="zh-CN"/>
        </w:rPr>
        <w:t>是</w:t>
      </w:r>
      <w:r>
        <w:rPr>
          <w:rFonts w:hint="eastAsia"/>
          <w:color w:val="auto"/>
        </w:rPr>
        <w:t>“全国啦啦操实验学校”</w:t>
      </w:r>
      <w:r>
        <w:rPr>
          <w:rFonts w:hint="eastAsia"/>
          <w:color w:val="auto"/>
          <w:lang w:eastAsia="zh-CN"/>
        </w:rPr>
        <w:t>、</w:t>
      </w:r>
      <w:r>
        <w:rPr>
          <w:rFonts w:hint="eastAsia"/>
          <w:color w:val="auto"/>
        </w:rPr>
        <w:t>“全国啦啦操星级俱乐部”；2023年在第五届中国啦啦操文化</w:t>
      </w:r>
      <w:r>
        <w:rPr>
          <w:rFonts w:hint="eastAsia"/>
          <w:color w:val="auto"/>
          <w:lang w:val="en-US" w:eastAsia="zh-CN"/>
        </w:rPr>
        <w:t>周</w:t>
      </w:r>
      <w:r>
        <w:rPr>
          <w:rFonts w:hint="eastAsia"/>
          <w:color w:val="auto"/>
        </w:rPr>
        <w:t>活动中获评“全国啦啦操特别贡献奖”、“全国校园大课间啦啦操推广实施单位”2项殊荣。部门荣获多项个人和团队荣誉，包括“全国高职高专院校体育工作先进个人”、“湖南省首届体育</w:t>
      </w:r>
      <w:r>
        <w:rPr>
          <w:rFonts w:hint="eastAsia"/>
          <w:color w:val="auto"/>
          <w:lang w:val="en-US" w:eastAsia="zh-CN"/>
        </w:rPr>
        <w:t>运</w:t>
      </w:r>
      <w:r>
        <w:rPr>
          <w:rFonts w:hint="eastAsia"/>
          <w:color w:val="auto"/>
        </w:rPr>
        <w:t>动会年度体育育人奖”等</w:t>
      </w:r>
      <w:r>
        <w:rPr>
          <w:rFonts w:hint="eastAsia"/>
          <w:color w:val="auto"/>
          <w:lang w:val="en-US" w:eastAsia="zh-CN"/>
        </w:rPr>
        <w:t>等</w:t>
      </w:r>
      <w:r>
        <w:rPr>
          <w:rFonts w:hint="eastAsia"/>
          <w:color w:val="auto"/>
        </w:rPr>
        <w:t>。体育部的工作得到了</w:t>
      </w:r>
      <w:r>
        <w:rPr>
          <w:rFonts w:hint="eastAsia"/>
          <w:color w:val="auto"/>
          <w:lang w:val="en-US" w:eastAsia="zh-CN"/>
        </w:rPr>
        <w:t>全国妇联、</w:t>
      </w:r>
      <w:r>
        <w:rPr>
          <w:rFonts w:hint="eastAsia"/>
          <w:color w:val="auto"/>
        </w:rPr>
        <w:t>国家体育总局体操运动管理中心、</w:t>
      </w:r>
      <w:r>
        <w:rPr>
          <w:rFonts w:hint="eastAsia"/>
          <w:color w:val="auto"/>
          <w:lang w:val="en-US" w:eastAsia="zh-CN"/>
        </w:rPr>
        <w:t>湖南省体育局、湖南省教育厅、</w:t>
      </w:r>
      <w:r>
        <w:rPr>
          <w:rFonts w:hint="eastAsia"/>
          <w:color w:val="auto"/>
        </w:rPr>
        <w:t>全国啦啦操委员会等机构的嘉奖和表彰。</w:t>
      </w:r>
    </w:p>
    <w:p w14:paraId="17E88A1D">
      <w:pPr>
        <w:rPr>
          <w:rFonts w:ascii="Times New Roman" w:hAnsi="Times New Roman" w:cs="Times New Roman"/>
          <w:b/>
          <w:bCs/>
          <w:color w:val="auto"/>
        </w:rPr>
      </w:pPr>
      <w:r>
        <w:rPr>
          <w:rFonts w:ascii="Times New Roman" w:hAnsi="Times New Roman" w:cs="Times New Roman"/>
          <w:b/>
          <w:bCs/>
          <w:color w:val="auto"/>
        </w:rPr>
        <w:br w:type="page"/>
      </w:r>
    </w:p>
    <w:p w14:paraId="4736FECA">
      <w:pPr>
        <w:pStyle w:val="2"/>
        <w:keepNext w:val="0"/>
        <w:keepLines w:val="0"/>
        <w:pageBreakBefore w:val="0"/>
        <w:widowControl w:val="0"/>
        <w:kinsoku/>
        <w:wordWrap/>
        <w:overflowPunct/>
        <w:topLinePunct w:val="0"/>
        <w:autoSpaceDE w:val="0"/>
        <w:autoSpaceDN w:val="0"/>
        <w:bidi w:val="0"/>
        <w:adjustRightInd/>
        <w:snapToGrid/>
        <w:spacing w:line="317" w:lineRule="auto"/>
        <w:ind w:left="0" w:leftChars="0" w:right="0" w:firstLine="0" w:firstLineChars="0"/>
        <w:jc w:val="center"/>
        <w:textAlignment w:val="auto"/>
        <w:rPr>
          <w:rFonts w:hint="eastAsia" w:ascii="宋体" w:hAnsi="宋体" w:eastAsia="宋体" w:cs="宋体"/>
          <w:b/>
          <w:bCs/>
          <w:color w:val="auto"/>
        </w:rPr>
      </w:pPr>
      <w:bookmarkStart w:id="8" w:name="_Toc4500"/>
      <w:r>
        <w:rPr>
          <w:rFonts w:ascii="Times New Roman" w:hAnsi="Times New Roman" w:cs="Times New Roman"/>
          <w:b/>
          <w:bCs/>
          <w:color w:val="auto"/>
        </w:rPr>
        <w:t>第二部分</w:t>
      </w:r>
      <w:r>
        <w:rPr>
          <w:rFonts w:hint="eastAsia" w:ascii="Times New Roman" w:hAnsi="Times New Roman" w:cs="Times New Roman"/>
          <w:b/>
          <w:bCs/>
          <w:color w:val="auto"/>
          <w:lang w:val="en-US" w:eastAsia="zh-CN"/>
        </w:rPr>
        <w:t xml:space="preserve">    </w:t>
      </w:r>
      <w:r>
        <w:rPr>
          <w:rFonts w:ascii="Times New Roman" w:hAnsi="Times New Roman" w:cs="Times New Roman"/>
          <w:b/>
          <w:bCs/>
          <w:color w:val="auto"/>
        </w:rPr>
        <w:t>学院自评工作开展情况</w:t>
      </w:r>
      <w:bookmarkEnd w:id="8"/>
    </w:p>
    <w:p w14:paraId="3113227F">
      <w:pPr>
        <w:pStyle w:val="8"/>
        <w:keepNext w:val="0"/>
        <w:keepLines w:val="0"/>
        <w:pageBreakBefore w:val="0"/>
        <w:widowControl w:val="0"/>
        <w:kinsoku/>
        <w:wordWrap/>
        <w:overflowPunct/>
        <w:topLinePunct w:val="0"/>
        <w:autoSpaceDE w:val="0"/>
        <w:autoSpaceDN w:val="0"/>
        <w:bidi w:val="0"/>
        <w:adjustRightInd/>
        <w:snapToGrid/>
        <w:spacing w:line="500" w:lineRule="exact"/>
        <w:ind w:left="0" w:firstLine="560" w:firstLineChars="200"/>
        <w:jc w:val="left"/>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体育部依据《湖南女子学院本科教育教学审核评估评建工作方案》和《湖南女子学院教学单位本科教学工作考核评估实施办法（修订）》开展自评自建工作。工作自2024年3月开始启动，相关自评自建情况如下：</w:t>
      </w:r>
    </w:p>
    <w:p w14:paraId="43174BB0">
      <w:pPr>
        <w:pStyle w:val="8"/>
        <w:keepNext w:val="0"/>
        <w:keepLines w:val="0"/>
        <w:pageBreakBefore w:val="0"/>
        <w:widowControl w:val="0"/>
        <w:kinsoku/>
        <w:wordWrap/>
        <w:overflowPunct/>
        <w:topLinePunct w:val="0"/>
        <w:autoSpaceDE w:val="0"/>
        <w:autoSpaceDN w:val="0"/>
        <w:bidi w:val="0"/>
        <w:adjustRightInd/>
        <w:snapToGrid/>
        <w:spacing w:line="500" w:lineRule="exact"/>
        <w:ind w:left="0" w:firstLine="560" w:firstLineChars="200"/>
        <w:jc w:val="left"/>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学校于2024年3月召开本科审核评估评建的动员会，对我校本科审核评估工作进行了总体部署。</w:t>
      </w:r>
      <w:r>
        <w:rPr>
          <w:rFonts w:hint="eastAsia" w:cs="Times New Roman"/>
          <w:color w:val="auto"/>
          <w:lang w:val="en-US" w:eastAsia="zh-CN"/>
        </w:rPr>
        <w:t>体育部</w:t>
      </w:r>
      <w:r>
        <w:rPr>
          <w:rFonts w:hint="eastAsia" w:ascii="Times New Roman" w:hAnsi="Times New Roman" w:cs="Times New Roman"/>
          <w:color w:val="auto"/>
          <w:lang w:val="en-US" w:eastAsia="zh-CN"/>
        </w:rPr>
        <w:t>根据学校的要求，开展了本科审核评估评建的工作布置，现就截至目前的工作情况进行总结如下：</w:t>
      </w:r>
    </w:p>
    <w:p w14:paraId="3C463069">
      <w:pPr>
        <w:pStyle w:val="8"/>
        <w:keepNext w:val="0"/>
        <w:keepLines w:val="0"/>
        <w:pageBreakBefore w:val="0"/>
        <w:widowControl w:val="0"/>
        <w:kinsoku/>
        <w:wordWrap/>
        <w:overflowPunct/>
        <w:topLinePunct w:val="0"/>
        <w:autoSpaceDE w:val="0"/>
        <w:autoSpaceDN w:val="0"/>
        <w:bidi w:val="0"/>
        <w:adjustRightInd/>
        <w:snapToGrid/>
        <w:spacing w:line="500" w:lineRule="exact"/>
        <w:ind w:left="0" w:firstLine="560" w:firstLineChars="200"/>
        <w:jc w:val="left"/>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一、</w:t>
      </w:r>
      <w:r>
        <w:rPr>
          <w:rFonts w:hint="eastAsia" w:cs="Times New Roman"/>
          <w:color w:val="auto"/>
          <w:lang w:val="en-US" w:eastAsia="zh-CN"/>
        </w:rPr>
        <w:t>体育部</w:t>
      </w:r>
      <w:r>
        <w:rPr>
          <w:rFonts w:hint="eastAsia" w:ascii="Times New Roman" w:hAnsi="Times New Roman" w:cs="Times New Roman"/>
          <w:color w:val="auto"/>
          <w:lang w:val="en-US" w:eastAsia="zh-CN"/>
        </w:rPr>
        <w:t>班子高度重视，集体研究部署，开展全</w:t>
      </w:r>
      <w:r>
        <w:rPr>
          <w:rFonts w:hint="eastAsia" w:cs="Times New Roman"/>
          <w:color w:val="auto"/>
          <w:lang w:val="en-US" w:eastAsia="zh-CN"/>
        </w:rPr>
        <w:t>部</w:t>
      </w:r>
      <w:r>
        <w:rPr>
          <w:rFonts w:hint="eastAsia" w:ascii="Times New Roman" w:hAnsi="Times New Roman" w:cs="Times New Roman"/>
          <w:color w:val="auto"/>
          <w:lang w:val="en-US" w:eastAsia="zh-CN"/>
        </w:rPr>
        <w:t>教师动员。</w:t>
      </w:r>
    </w:p>
    <w:p w14:paraId="7C580F39">
      <w:pPr>
        <w:pStyle w:val="8"/>
        <w:keepNext w:val="0"/>
        <w:keepLines w:val="0"/>
        <w:pageBreakBefore w:val="0"/>
        <w:widowControl w:val="0"/>
        <w:kinsoku/>
        <w:wordWrap/>
        <w:overflowPunct/>
        <w:topLinePunct w:val="0"/>
        <w:autoSpaceDE w:val="0"/>
        <w:autoSpaceDN w:val="0"/>
        <w:bidi w:val="0"/>
        <w:adjustRightInd/>
        <w:snapToGrid/>
        <w:spacing w:line="500" w:lineRule="exact"/>
        <w:ind w:left="0" w:firstLine="560" w:firstLineChars="200"/>
        <w:jc w:val="left"/>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1.在学校审核评估动员会后，</w:t>
      </w:r>
      <w:r>
        <w:rPr>
          <w:rFonts w:hint="eastAsia" w:cs="Times New Roman"/>
          <w:color w:val="auto"/>
          <w:lang w:val="en-US" w:eastAsia="zh-CN"/>
        </w:rPr>
        <w:t>体育部</w:t>
      </w:r>
      <w:r>
        <w:rPr>
          <w:rFonts w:hint="eastAsia" w:ascii="Times New Roman" w:hAnsi="Times New Roman" w:cs="Times New Roman"/>
          <w:color w:val="auto"/>
          <w:lang w:val="en-US" w:eastAsia="zh-CN"/>
        </w:rPr>
        <w:t>领导班子集中研究，成立了以</w:t>
      </w:r>
      <w:r>
        <w:rPr>
          <w:rFonts w:hint="eastAsia" w:cs="Times New Roman"/>
          <w:color w:val="auto"/>
          <w:lang w:val="en-US" w:eastAsia="zh-CN"/>
        </w:rPr>
        <w:t>樊伟主任</w:t>
      </w:r>
      <w:r>
        <w:rPr>
          <w:rFonts w:hint="eastAsia" w:ascii="Times New Roman" w:hAnsi="Times New Roman" w:cs="Times New Roman"/>
          <w:color w:val="auto"/>
          <w:lang w:val="en-US" w:eastAsia="zh-CN"/>
        </w:rPr>
        <w:t>为组长，</w:t>
      </w:r>
      <w:r>
        <w:rPr>
          <w:rFonts w:hint="eastAsia" w:cs="Times New Roman"/>
          <w:color w:val="auto"/>
          <w:lang w:val="en-US" w:eastAsia="zh-CN"/>
        </w:rPr>
        <w:t>王庆云副主任</w:t>
      </w:r>
      <w:r>
        <w:rPr>
          <w:rFonts w:hint="eastAsia" w:ascii="Times New Roman" w:hAnsi="Times New Roman" w:cs="Times New Roman"/>
          <w:color w:val="auto"/>
          <w:lang w:val="en-US" w:eastAsia="zh-CN"/>
        </w:rPr>
        <w:t>为副组长的审核评估工作领导小组，负责对学院审核评估工作进行全面领导。</w:t>
      </w:r>
    </w:p>
    <w:p w14:paraId="77B47122">
      <w:pPr>
        <w:pStyle w:val="8"/>
        <w:keepNext w:val="0"/>
        <w:keepLines w:val="0"/>
        <w:pageBreakBefore w:val="0"/>
        <w:widowControl w:val="0"/>
        <w:kinsoku/>
        <w:wordWrap/>
        <w:overflowPunct/>
        <w:topLinePunct w:val="0"/>
        <w:autoSpaceDE w:val="0"/>
        <w:autoSpaceDN w:val="0"/>
        <w:bidi w:val="0"/>
        <w:adjustRightInd/>
        <w:snapToGrid/>
        <w:spacing w:line="500" w:lineRule="exact"/>
        <w:ind w:left="0" w:firstLine="560" w:firstLineChars="200"/>
        <w:jc w:val="left"/>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2.在3月1</w:t>
      </w:r>
      <w:r>
        <w:rPr>
          <w:rFonts w:hint="eastAsia" w:cs="Times New Roman"/>
          <w:color w:val="auto"/>
          <w:lang w:val="en-US" w:eastAsia="zh-CN"/>
        </w:rPr>
        <w:t>7</w:t>
      </w:r>
      <w:r>
        <w:rPr>
          <w:rFonts w:hint="eastAsia" w:ascii="Times New Roman" w:hAnsi="Times New Roman" w:cs="Times New Roman"/>
          <w:color w:val="auto"/>
          <w:lang w:val="en-US" w:eastAsia="zh-CN"/>
        </w:rPr>
        <w:t>日的</w:t>
      </w:r>
      <w:r>
        <w:rPr>
          <w:rFonts w:hint="eastAsia" w:cs="Times New Roman"/>
          <w:color w:val="auto"/>
          <w:lang w:val="en-US" w:eastAsia="zh-CN"/>
        </w:rPr>
        <w:t>部</w:t>
      </w:r>
      <w:r>
        <w:rPr>
          <w:rFonts w:hint="eastAsia" w:ascii="Times New Roman" w:hAnsi="Times New Roman" w:cs="Times New Roman"/>
          <w:color w:val="auto"/>
          <w:lang w:val="en-US" w:eastAsia="zh-CN"/>
        </w:rPr>
        <w:t>务会上，</w:t>
      </w:r>
      <w:r>
        <w:rPr>
          <w:rFonts w:hint="eastAsia" w:cs="Times New Roman"/>
          <w:color w:val="auto"/>
          <w:lang w:val="en-US" w:eastAsia="zh-CN"/>
        </w:rPr>
        <w:t>王庆云</w:t>
      </w:r>
      <w:r>
        <w:rPr>
          <w:rFonts w:hint="eastAsia" w:ascii="Times New Roman" w:hAnsi="Times New Roman" w:cs="Times New Roman"/>
          <w:color w:val="auto"/>
          <w:lang w:val="en-US" w:eastAsia="zh-CN"/>
        </w:rPr>
        <w:t>副</w:t>
      </w:r>
      <w:r>
        <w:rPr>
          <w:rFonts w:hint="eastAsia" w:cs="Times New Roman"/>
          <w:color w:val="auto"/>
          <w:lang w:val="en-US" w:eastAsia="zh-CN"/>
        </w:rPr>
        <w:t>主任</w:t>
      </w:r>
      <w:r>
        <w:rPr>
          <w:rFonts w:hint="eastAsia" w:ascii="Times New Roman" w:hAnsi="Times New Roman" w:cs="Times New Roman"/>
          <w:color w:val="auto"/>
          <w:lang w:val="en-US" w:eastAsia="zh-CN"/>
        </w:rPr>
        <w:t>就学校的工作部署向</w:t>
      </w:r>
      <w:r>
        <w:rPr>
          <w:rFonts w:hint="eastAsia" w:cs="Times New Roman"/>
          <w:color w:val="auto"/>
          <w:lang w:val="en-US" w:eastAsia="zh-CN"/>
        </w:rPr>
        <w:t>部门管理层</w:t>
      </w:r>
      <w:r>
        <w:rPr>
          <w:rFonts w:hint="eastAsia" w:ascii="Times New Roman" w:hAnsi="Times New Roman" w:cs="Times New Roman"/>
          <w:color w:val="auto"/>
          <w:lang w:val="en-US" w:eastAsia="zh-CN"/>
        </w:rPr>
        <w:t>汇报，</w:t>
      </w:r>
      <w:r>
        <w:rPr>
          <w:rFonts w:hint="eastAsia" w:cs="Times New Roman"/>
          <w:color w:val="auto"/>
          <w:lang w:val="en-US" w:eastAsia="zh-CN"/>
        </w:rPr>
        <w:t>部门管理层</w:t>
      </w:r>
      <w:r>
        <w:rPr>
          <w:rFonts w:hint="eastAsia" w:ascii="Times New Roman" w:hAnsi="Times New Roman" w:cs="Times New Roman"/>
          <w:color w:val="auto"/>
          <w:lang w:val="en-US" w:eastAsia="zh-CN"/>
        </w:rPr>
        <w:t>商议相关工作的开展。3月25日</w:t>
      </w:r>
      <w:r>
        <w:rPr>
          <w:rFonts w:hint="eastAsia" w:cs="Times New Roman"/>
          <w:color w:val="auto"/>
          <w:lang w:val="en-US" w:eastAsia="zh-CN"/>
        </w:rPr>
        <w:t>王庆云副主任</w:t>
      </w:r>
      <w:r>
        <w:rPr>
          <w:rFonts w:hint="eastAsia" w:ascii="Times New Roman" w:hAnsi="Times New Roman" w:cs="Times New Roman"/>
          <w:color w:val="auto"/>
          <w:lang w:val="en-US" w:eastAsia="zh-CN"/>
        </w:rPr>
        <w:t>提交</w:t>
      </w:r>
      <w:r>
        <w:rPr>
          <w:rFonts w:hint="eastAsia" w:cs="Times New Roman"/>
          <w:color w:val="auto"/>
          <w:lang w:val="en-US" w:eastAsia="zh-CN"/>
        </w:rPr>
        <w:t>部门</w:t>
      </w:r>
      <w:r>
        <w:rPr>
          <w:rFonts w:hint="eastAsia" w:ascii="Times New Roman" w:hAnsi="Times New Roman" w:cs="Times New Roman"/>
          <w:color w:val="auto"/>
          <w:lang w:val="en-US" w:eastAsia="zh-CN"/>
        </w:rPr>
        <w:t>审核评估工作方案，集体进行研讨。</w:t>
      </w:r>
    </w:p>
    <w:p w14:paraId="445BAF4A">
      <w:pPr>
        <w:pStyle w:val="8"/>
        <w:keepNext w:val="0"/>
        <w:keepLines w:val="0"/>
        <w:pageBreakBefore w:val="0"/>
        <w:widowControl w:val="0"/>
        <w:kinsoku/>
        <w:wordWrap/>
        <w:overflowPunct/>
        <w:topLinePunct w:val="0"/>
        <w:autoSpaceDE w:val="0"/>
        <w:autoSpaceDN w:val="0"/>
        <w:bidi w:val="0"/>
        <w:adjustRightInd/>
        <w:snapToGrid/>
        <w:spacing w:line="500" w:lineRule="exact"/>
        <w:ind w:left="0" w:firstLine="560" w:firstLineChars="200"/>
        <w:jc w:val="left"/>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3.3月26日</w:t>
      </w:r>
      <w:r>
        <w:rPr>
          <w:rFonts w:hint="eastAsia" w:cs="Times New Roman"/>
          <w:color w:val="auto"/>
          <w:lang w:val="en-US" w:eastAsia="zh-CN"/>
        </w:rPr>
        <w:t>体育部</w:t>
      </w:r>
      <w:r>
        <w:rPr>
          <w:rFonts w:hint="eastAsia" w:ascii="Times New Roman" w:hAnsi="Times New Roman" w:cs="Times New Roman"/>
          <w:color w:val="auto"/>
          <w:lang w:val="en-US" w:eastAsia="zh-CN"/>
        </w:rPr>
        <w:t>召开审核评估工作动员会，</w:t>
      </w:r>
      <w:r>
        <w:rPr>
          <w:rFonts w:hint="eastAsia" w:cs="Times New Roman"/>
          <w:color w:val="auto"/>
          <w:lang w:val="en-US" w:eastAsia="zh-CN"/>
        </w:rPr>
        <w:t>体育部全体教职工</w:t>
      </w:r>
      <w:r>
        <w:rPr>
          <w:rFonts w:hint="eastAsia" w:ascii="Times New Roman" w:hAnsi="Times New Roman" w:cs="Times New Roman"/>
          <w:color w:val="auto"/>
          <w:lang w:val="en-US" w:eastAsia="zh-CN"/>
        </w:rPr>
        <w:t>出席，</w:t>
      </w:r>
      <w:r>
        <w:rPr>
          <w:rFonts w:hint="eastAsia" w:cs="Times New Roman"/>
          <w:color w:val="auto"/>
          <w:lang w:val="en-US" w:eastAsia="zh-CN"/>
        </w:rPr>
        <w:t>樊伟主任</w:t>
      </w:r>
      <w:r>
        <w:rPr>
          <w:rFonts w:hint="eastAsia" w:ascii="Times New Roman" w:hAnsi="Times New Roman" w:cs="Times New Roman"/>
          <w:color w:val="auto"/>
          <w:lang w:val="en-US" w:eastAsia="zh-CN"/>
        </w:rPr>
        <w:t>就审核评估的工作纪律进行了强调</w:t>
      </w:r>
      <w:r>
        <w:rPr>
          <w:rFonts w:hint="eastAsia" w:cs="Times New Roman"/>
          <w:color w:val="auto"/>
          <w:lang w:val="en-US" w:eastAsia="zh-CN"/>
        </w:rPr>
        <w:t>，</w:t>
      </w:r>
      <w:r>
        <w:rPr>
          <w:rFonts w:hint="eastAsia" w:ascii="Times New Roman" w:hAnsi="Times New Roman" w:cs="Times New Roman"/>
          <w:color w:val="auto"/>
          <w:lang w:val="en-US" w:eastAsia="zh-CN"/>
        </w:rPr>
        <w:t>就审核评估的重要性提出了要求；</w:t>
      </w:r>
      <w:r>
        <w:rPr>
          <w:rFonts w:hint="eastAsia" w:cs="Times New Roman"/>
          <w:color w:val="auto"/>
          <w:lang w:val="en-US" w:eastAsia="zh-CN"/>
        </w:rPr>
        <w:t>王庆云副主任</w:t>
      </w:r>
      <w:r>
        <w:rPr>
          <w:rFonts w:hint="eastAsia" w:ascii="Times New Roman" w:hAnsi="Times New Roman" w:cs="Times New Roman"/>
          <w:color w:val="auto"/>
          <w:lang w:val="en-US" w:eastAsia="zh-CN"/>
        </w:rPr>
        <w:t>就方案进行了解读，对</w:t>
      </w:r>
      <w:r>
        <w:rPr>
          <w:rFonts w:hint="eastAsia" w:cs="Times New Roman"/>
          <w:color w:val="auto"/>
          <w:lang w:val="en-US" w:eastAsia="zh-CN"/>
        </w:rPr>
        <w:t>体育部</w:t>
      </w:r>
      <w:r>
        <w:rPr>
          <w:rFonts w:hint="eastAsia" w:ascii="Times New Roman" w:hAnsi="Times New Roman" w:cs="Times New Roman"/>
          <w:color w:val="auto"/>
          <w:lang w:val="en-US" w:eastAsia="zh-CN"/>
        </w:rPr>
        <w:t>分阶段任务进行了说明。</w:t>
      </w:r>
    </w:p>
    <w:p w14:paraId="3FA96DA9">
      <w:pPr>
        <w:pStyle w:val="8"/>
        <w:keepNext w:val="0"/>
        <w:keepLines w:val="0"/>
        <w:pageBreakBefore w:val="0"/>
        <w:widowControl w:val="0"/>
        <w:kinsoku/>
        <w:wordWrap/>
        <w:overflowPunct/>
        <w:topLinePunct w:val="0"/>
        <w:autoSpaceDE w:val="0"/>
        <w:autoSpaceDN w:val="0"/>
        <w:bidi w:val="0"/>
        <w:adjustRightInd/>
        <w:snapToGrid/>
        <w:spacing w:line="500" w:lineRule="exact"/>
        <w:ind w:left="0" w:firstLine="560" w:firstLineChars="200"/>
        <w:jc w:val="left"/>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二、按照任务要求分段推进审核评估工作</w:t>
      </w:r>
    </w:p>
    <w:p w14:paraId="65811A91">
      <w:pPr>
        <w:pStyle w:val="8"/>
        <w:keepNext w:val="0"/>
        <w:keepLines w:val="0"/>
        <w:pageBreakBefore w:val="0"/>
        <w:widowControl w:val="0"/>
        <w:kinsoku/>
        <w:wordWrap/>
        <w:overflowPunct/>
        <w:topLinePunct w:val="0"/>
        <w:autoSpaceDE w:val="0"/>
        <w:autoSpaceDN w:val="0"/>
        <w:bidi w:val="0"/>
        <w:adjustRightInd/>
        <w:snapToGrid/>
        <w:spacing w:line="500" w:lineRule="exact"/>
        <w:ind w:left="0" w:firstLine="560" w:firstLineChars="200"/>
        <w:jc w:val="left"/>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1.根据产出导向要求，组织教学材料集中整改，</w:t>
      </w:r>
    </w:p>
    <w:p w14:paraId="42414B12">
      <w:pPr>
        <w:pStyle w:val="8"/>
        <w:keepNext w:val="0"/>
        <w:keepLines w:val="0"/>
        <w:pageBreakBefore w:val="0"/>
        <w:widowControl w:val="0"/>
        <w:kinsoku/>
        <w:wordWrap/>
        <w:overflowPunct/>
        <w:topLinePunct w:val="0"/>
        <w:autoSpaceDE w:val="0"/>
        <w:autoSpaceDN w:val="0"/>
        <w:bidi w:val="0"/>
        <w:adjustRightInd/>
        <w:snapToGrid/>
        <w:spacing w:line="500" w:lineRule="exact"/>
        <w:ind w:left="0" w:firstLine="560" w:firstLineChars="200"/>
        <w:jc w:val="left"/>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eastAsia" w:cs="Times New Roman"/>
          <w:color w:val="auto"/>
          <w:lang w:val="en-US" w:eastAsia="zh-CN"/>
        </w:rPr>
        <w:t>1</w:t>
      </w:r>
      <w:r>
        <w:rPr>
          <w:rFonts w:hint="eastAsia" w:ascii="Times New Roman" w:hAnsi="Times New Roman" w:cs="Times New Roman"/>
          <w:color w:val="auto"/>
          <w:lang w:val="en-US" w:eastAsia="zh-CN"/>
        </w:rPr>
        <w:t>）</w:t>
      </w:r>
      <w:r>
        <w:rPr>
          <w:rFonts w:hint="eastAsia" w:cs="Times New Roman"/>
          <w:color w:val="auto"/>
          <w:lang w:val="en-US" w:eastAsia="zh-CN"/>
        </w:rPr>
        <w:t>体育部</w:t>
      </w:r>
      <w:r>
        <w:rPr>
          <w:rFonts w:hint="eastAsia" w:ascii="Times New Roman" w:hAnsi="Times New Roman" w:cs="Times New Roman"/>
          <w:color w:val="auto"/>
          <w:lang w:val="en-US" w:eastAsia="zh-CN"/>
        </w:rPr>
        <w:t>于2024年7月15-23日，8</w:t>
      </w:r>
      <w:r>
        <w:rPr>
          <w:rFonts w:hint="eastAsia" w:cs="Times New Roman"/>
          <w:color w:val="auto"/>
          <w:lang w:val="en-US" w:eastAsia="zh-CN"/>
        </w:rPr>
        <w:t>月22</w:t>
      </w:r>
      <w:r>
        <w:rPr>
          <w:rFonts w:hint="eastAsia" w:ascii="Times New Roman" w:hAnsi="Times New Roman" w:cs="Times New Roman"/>
          <w:color w:val="auto"/>
          <w:lang w:val="en-US" w:eastAsia="zh-CN"/>
        </w:rPr>
        <w:t>-26日分阶段对2022年下学期至2024年上期的教学材料组织集中整改，教师互查、</w:t>
      </w:r>
      <w:r>
        <w:rPr>
          <w:rFonts w:hint="eastAsia" w:cs="Times New Roman"/>
          <w:color w:val="auto"/>
          <w:lang w:val="en-US" w:eastAsia="zh-CN"/>
        </w:rPr>
        <w:t>教研室</w:t>
      </w:r>
      <w:r>
        <w:rPr>
          <w:rFonts w:hint="eastAsia" w:ascii="Times New Roman" w:hAnsi="Times New Roman" w:cs="Times New Roman"/>
          <w:color w:val="auto"/>
          <w:lang w:val="en-US" w:eastAsia="zh-CN"/>
        </w:rPr>
        <w:t>全面检查与</w:t>
      </w:r>
      <w:r>
        <w:rPr>
          <w:rFonts w:hint="eastAsia" w:cs="Times New Roman"/>
          <w:color w:val="auto"/>
          <w:lang w:val="en-US" w:eastAsia="zh-CN"/>
        </w:rPr>
        <w:t>部门</w:t>
      </w:r>
      <w:r>
        <w:rPr>
          <w:rFonts w:hint="eastAsia" w:ascii="Times New Roman" w:hAnsi="Times New Roman" w:cs="Times New Roman"/>
          <w:color w:val="auto"/>
          <w:lang w:val="en-US" w:eastAsia="zh-CN"/>
        </w:rPr>
        <w:t>抽查相结合，目前整改告一段落。</w:t>
      </w:r>
    </w:p>
    <w:p w14:paraId="6F79E749">
      <w:pPr>
        <w:pStyle w:val="8"/>
        <w:keepNext w:val="0"/>
        <w:keepLines w:val="0"/>
        <w:pageBreakBefore w:val="0"/>
        <w:widowControl w:val="0"/>
        <w:kinsoku/>
        <w:wordWrap/>
        <w:overflowPunct/>
        <w:topLinePunct w:val="0"/>
        <w:autoSpaceDE w:val="0"/>
        <w:autoSpaceDN w:val="0"/>
        <w:bidi w:val="0"/>
        <w:adjustRightInd/>
        <w:snapToGrid/>
        <w:spacing w:line="500" w:lineRule="exact"/>
        <w:ind w:left="0" w:firstLine="560" w:firstLineChars="200"/>
        <w:jc w:val="left"/>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2.根据持续改进的要求，对教学材料进行了整改。</w:t>
      </w:r>
    </w:p>
    <w:p w14:paraId="3BA220D4">
      <w:pPr>
        <w:pStyle w:val="8"/>
        <w:keepNext w:val="0"/>
        <w:keepLines w:val="0"/>
        <w:pageBreakBefore w:val="0"/>
        <w:widowControl w:val="0"/>
        <w:kinsoku/>
        <w:wordWrap/>
        <w:overflowPunct/>
        <w:topLinePunct w:val="0"/>
        <w:autoSpaceDE w:val="0"/>
        <w:autoSpaceDN w:val="0"/>
        <w:bidi w:val="0"/>
        <w:adjustRightInd/>
        <w:snapToGrid/>
        <w:spacing w:line="500" w:lineRule="exact"/>
        <w:ind w:left="0" w:firstLine="560" w:firstLineChars="200"/>
        <w:jc w:val="left"/>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（1）2024年3月底-4月初，对2023-2024-1学期的教学材料进行整改。对于期末考试成绩</w:t>
      </w:r>
      <w:r>
        <w:rPr>
          <w:rFonts w:hint="eastAsia" w:cs="Times New Roman"/>
          <w:color w:val="auto"/>
          <w:lang w:val="en-US" w:eastAsia="zh-CN"/>
        </w:rPr>
        <w:t>不符合正态分布</w:t>
      </w:r>
      <w:r>
        <w:rPr>
          <w:rFonts w:hint="eastAsia" w:ascii="Times New Roman" w:hAnsi="Times New Roman" w:cs="Times New Roman"/>
          <w:color w:val="auto"/>
          <w:lang w:val="en-US" w:eastAsia="zh-CN"/>
        </w:rPr>
        <w:t>的</w:t>
      </w:r>
      <w:r>
        <w:rPr>
          <w:rFonts w:hint="eastAsia" w:cs="Times New Roman"/>
          <w:color w:val="auto"/>
          <w:lang w:val="en-US" w:eastAsia="zh-CN"/>
        </w:rPr>
        <w:t>班级</w:t>
      </w:r>
      <w:r>
        <w:rPr>
          <w:rFonts w:hint="eastAsia" w:ascii="Times New Roman" w:hAnsi="Times New Roman" w:cs="Times New Roman"/>
          <w:color w:val="auto"/>
          <w:lang w:val="en-US" w:eastAsia="zh-CN"/>
        </w:rPr>
        <w:t>，按照评估中心的要求进行了全面的分析并提出了持续改进的措施。</w:t>
      </w:r>
    </w:p>
    <w:p w14:paraId="33CD351F">
      <w:pPr>
        <w:pStyle w:val="8"/>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0" w:leftChars="0" w:firstLine="560" w:firstLineChars="200"/>
        <w:jc w:val="left"/>
        <w:textAlignment w:val="auto"/>
        <w:rPr>
          <w:rFonts w:hint="eastAsia" w:ascii="Times New Roman" w:hAnsi="Times New Roman" w:cs="Times New Roman"/>
          <w:color w:val="auto"/>
          <w:lang w:val="en-US" w:eastAsia="zh-CN"/>
        </w:rPr>
      </w:pPr>
      <w:r>
        <w:rPr>
          <w:rFonts w:hint="eastAsia" w:ascii="Times New Roman" w:hAnsi="Times New Roman" w:eastAsia="仿宋" w:cs="Times New Roman"/>
          <w:color w:val="auto"/>
          <w:sz w:val="28"/>
          <w:szCs w:val="28"/>
          <w:lang w:val="en-US" w:eastAsia="zh-CN" w:bidi="zh-CN"/>
        </w:rPr>
        <w:t>（</w:t>
      </w:r>
      <w:r>
        <w:rPr>
          <w:rFonts w:hint="eastAsia" w:cs="Times New Roman"/>
          <w:color w:val="auto"/>
          <w:sz w:val="28"/>
          <w:szCs w:val="28"/>
          <w:lang w:val="en-US" w:eastAsia="zh-CN" w:bidi="zh-CN"/>
        </w:rPr>
        <w:t>2</w:t>
      </w:r>
      <w:r>
        <w:rPr>
          <w:rFonts w:hint="eastAsia" w:ascii="Times New Roman" w:hAnsi="Times New Roman" w:eastAsia="仿宋" w:cs="Times New Roman"/>
          <w:color w:val="auto"/>
          <w:sz w:val="28"/>
          <w:szCs w:val="28"/>
          <w:lang w:val="en-US" w:eastAsia="zh-CN" w:bidi="zh-CN"/>
        </w:rPr>
        <w:t>）</w:t>
      </w:r>
      <w:r>
        <w:rPr>
          <w:rFonts w:hint="eastAsia" w:ascii="Times New Roman" w:hAnsi="Times New Roman" w:cs="Times New Roman"/>
          <w:color w:val="auto"/>
          <w:lang w:val="en-US" w:eastAsia="zh-CN"/>
        </w:rPr>
        <w:t>在期末</w:t>
      </w:r>
      <w:r>
        <w:rPr>
          <w:rFonts w:hint="eastAsia" w:cs="Times New Roman"/>
          <w:color w:val="auto"/>
          <w:lang w:val="en-US" w:eastAsia="zh-CN"/>
        </w:rPr>
        <w:t>考查方案</w:t>
      </w:r>
      <w:r>
        <w:rPr>
          <w:rFonts w:hint="eastAsia" w:ascii="Times New Roman" w:hAnsi="Times New Roman" w:cs="Times New Roman"/>
          <w:color w:val="auto"/>
          <w:lang w:val="en-US" w:eastAsia="zh-CN"/>
        </w:rPr>
        <w:t>中，组织教师学习质量标准，要求落实责任，层层审核把关，确保</w:t>
      </w:r>
      <w:r>
        <w:rPr>
          <w:rFonts w:hint="eastAsia" w:cs="Times New Roman"/>
          <w:color w:val="auto"/>
          <w:lang w:val="en-US" w:eastAsia="zh-CN"/>
        </w:rPr>
        <w:t>大学体育考查方案有效</w:t>
      </w:r>
      <w:r>
        <w:rPr>
          <w:rFonts w:hint="eastAsia" w:ascii="Times New Roman" w:hAnsi="Times New Roman" w:cs="Times New Roman"/>
          <w:color w:val="auto"/>
          <w:lang w:val="en-US" w:eastAsia="zh-CN"/>
        </w:rPr>
        <w:t>。</w:t>
      </w:r>
    </w:p>
    <w:p w14:paraId="2F9E542A">
      <w:pPr>
        <w:pStyle w:val="8"/>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0" w:leftChars="0" w:firstLine="560" w:firstLineChars="200"/>
        <w:jc w:val="left"/>
        <w:textAlignment w:val="auto"/>
        <w:rPr>
          <w:rFonts w:hint="eastAsia" w:ascii="Times New Roman" w:hAnsi="Times New Roman" w:cs="Times New Roman"/>
          <w:b w:val="0"/>
          <w:bCs w:val="0"/>
          <w:color w:val="auto"/>
          <w:highlight w:val="none"/>
          <w:lang w:val="en-US" w:eastAsia="zh-CN"/>
        </w:rPr>
      </w:pPr>
      <w:r>
        <w:rPr>
          <w:rFonts w:hint="eastAsia" w:ascii="Times New Roman" w:hAnsi="Times New Roman" w:eastAsia="仿宋" w:cs="Times New Roman"/>
          <w:color w:val="auto"/>
          <w:sz w:val="28"/>
          <w:szCs w:val="28"/>
          <w:lang w:val="en-US" w:eastAsia="zh-CN" w:bidi="zh-CN"/>
        </w:rPr>
        <w:t>（</w:t>
      </w:r>
      <w:r>
        <w:rPr>
          <w:rFonts w:hint="eastAsia" w:cs="Times New Roman"/>
          <w:color w:val="auto"/>
          <w:sz w:val="28"/>
          <w:szCs w:val="28"/>
          <w:lang w:val="en-US" w:eastAsia="zh-CN" w:bidi="zh-CN"/>
        </w:rPr>
        <w:t>3</w:t>
      </w:r>
      <w:r>
        <w:rPr>
          <w:rFonts w:hint="eastAsia" w:ascii="Times New Roman" w:hAnsi="Times New Roman" w:eastAsia="仿宋" w:cs="Times New Roman"/>
          <w:color w:val="auto"/>
          <w:sz w:val="28"/>
          <w:szCs w:val="28"/>
          <w:lang w:val="en-US" w:eastAsia="zh-CN" w:bidi="zh-CN"/>
        </w:rPr>
        <w:t>）</w:t>
      </w:r>
      <w:r>
        <w:rPr>
          <w:rFonts w:hint="eastAsia" w:cs="Times New Roman"/>
          <w:color w:val="auto"/>
          <w:sz w:val="28"/>
          <w:szCs w:val="28"/>
          <w:lang w:val="en-US" w:eastAsia="zh-CN" w:bidi="zh-CN"/>
        </w:rPr>
        <w:t>体育部</w:t>
      </w:r>
      <w:r>
        <w:rPr>
          <w:rFonts w:hint="eastAsia" w:ascii="Times New Roman" w:hAnsi="Times New Roman" w:cs="Times New Roman"/>
          <w:b w:val="0"/>
          <w:bCs w:val="0"/>
          <w:color w:val="auto"/>
          <w:highlight w:val="none"/>
          <w:lang w:val="en-US" w:eastAsia="zh-CN"/>
        </w:rPr>
        <w:t>组织教师在暑期对2022年下学期以来的教学材料，含教学过程材料及实践教学材料进行集中整改</w:t>
      </w:r>
      <w:r>
        <w:rPr>
          <w:rFonts w:hint="eastAsia" w:cs="Times New Roman"/>
          <w:b w:val="0"/>
          <w:bCs w:val="0"/>
          <w:color w:val="auto"/>
          <w:highlight w:val="none"/>
          <w:lang w:val="en-US" w:eastAsia="zh-CN"/>
        </w:rPr>
        <w:t>。尤其</w:t>
      </w:r>
      <w:r>
        <w:rPr>
          <w:rFonts w:hint="eastAsia" w:ascii="Times New Roman" w:hAnsi="Times New Roman" w:cs="Times New Roman"/>
          <w:b w:val="0"/>
          <w:bCs w:val="0"/>
          <w:color w:val="auto"/>
          <w:highlight w:val="none"/>
          <w:lang w:val="en-US" w:eastAsia="zh-CN"/>
        </w:rPr>
        <w:t>对</w:t>
      </w:r>
      <w:r>
        <w:rPr>
          <w:rFonts w:hint="eastAsia" w:cs="Times New Roman"/>
          <w:b w:val="0"/>
          <w:bCs w:val="0"/>
          <w:color w:val="auto"/>
          <w:highlight w:val="none"/>
          <w:lang w:val="en-US" w:eastAsia="zh-CN"/>
        </w:rPr>
        <w:t>任教</w:t>
      </w:r>
      <w:r>
        <w:rPr>
          <w:rFonts w:hint="eastAsia" w:ascii="Times New Roman" w:hAnsi="Times New Roman" w:cs="Times New Roman"/>
          <w:b w:val="0"/>
          <w:bCs w:val="0"/>
          <w:color w:val="auto"/>
          <w:highlight w:val="none"/>
          <w:lang w:val="en-US" w:eastAsia="zh-CN"/>
        </w:rPr>
        <w:t>汉语言文学师范专业</w:t>
      </w:r>
      <w:r>
        <w:rPr>
          <w:rFonts w:hint="eastAsia" w:cs="Times New Roman"/>
          <w:b w:val="0"/>
          <w:bCs w:val="0"/>
          <w:color w:val="auto"/>
          <w:highlight w:val="none"/>
          <w:lang w:val="en-US" w:eastAsia="zh-CN"/>
        </w:rPr>
        <w:t>老师</w:t>
      </w:r>
      <w:r>
        <w:rPr>
          <w:rFonts w:hint="eastAsia" w:ascii="Times New Roman" w:hAnsi="Times New Roman" w:cs="Times New Roman"/>
          <w:b w:val="0"/>
          <w:bCs w:val="0"/>
          <w:color w:val="auto"/>
          <w:highlight w:val="none"/>
          <w:lang w:val="en-US" w:eastAsia="zh-CN"/>
        </w:rPr>
        <w:t>的近三年及相关教学材料进行了全面的整改与检查</w:t>
      </w:r>
      <w:r>
        <w:rPr>
          <w:rFonts w:hint="eastAsia" w:cs="Times New Roman"/>
          <w:b w:val="0"/>
          <w:bCs w:val="0"/>
          <w:color w:val="auto"/>
          <w:highlight w:val="none"/>
          <w:lang w:val="en-US" w:eastAsia="zh-CN"/>
        </w:rPr>
        <w:t>。</w:t>
      </w:r>
    </w:p>
    <w:p w14:paraId="6BAF639C">
      <w:pPr>
        <w:pStyle w:val="8"/>
        <w:keepNext w:val="0"/>
        <w:keepLines w:val="0"/>
        <w:pageBreakBefore w:val="0"/>
        <w:widowControl w:val="0"/>
        <w:kinsoku/>
        <w:wordWrap/>
        <w:overflowPunct/>
        <w:topLinePunct w:val="0"/>
        <w:autoSpaceDE w:val="0"/>
        <w:autoSpaceDN w:val="0"/>
        <w:bidi w:val="0"/>
        <w:adjustRightInd/>
        <w:snapToGrid/>
        <w:spacing w:line="500" w:lineRule="exact"/>
        <w:ind w:left="0" w:firstLine="560" w:firstLineChars="200"/>
        <w:jc w:val="left"/>
        <w:textAlignment w:val="auto"/>
        <w:rPr>
          <w:rFonts w:hint="eastAsia" w:cs="Times New Roman"/>
          <w:color w:val="auto"/>
          <w:lang w:val="en-US" w:eastAsia="zh-CN"/>
        </w:rPr>
      </w:pPr>
      <w:r>
        <w:rPr>
          <w:rFonts w:hint="eastAsia" w:ascii="Times New Roman" w:hAnsi="Times New Roman" w:cs="Times New Roman"/>
          <w:color w:val="auto"/>
          <w:lang w:val="en-US" w:eastAsia="zh-CN"/>
        </w:rPr>
        <w:t>3.以学生为中心，围绕核心工作，对标审核评估任务要求，加强学科建设。加强</w:t>
      </w:r>
      <w:r>
        <w:rPr>
          <w:rFonts w:hint="eastAsia" w:cs="Times New Roman"/>
          <w:color w:val="auto"/>
          <w:lang w:val="en-US" w:eastAsia="zh-CN"/>
        </w:rPr>
        <w:t>体育部</w:t>
      </w:r>
      <w:r>
        <w:rPr>
          <w:rFonts w:hint="eastAsia" w:ascii="Times New Roman" w:hAnsi="Times New Roman" w:cs="Times New Roman"/>
          <w:color w:val="auto"/>
          <w:lang w:val="en-US" w:eastAsia="zh-CN"/>
        </w:rPr>
        <w:t>制度建设。根据学校本科审核评估任务表，</w:t>
      </w:r>
      <w:r>
        <w:rPr>
          <w:rFonts w:hint="eastAsia" w:cs="Times New Roman"/>
          <w:color w:val="auto"/>
          <w:lang w:val="en-US" w:eastAsia="zh-CN"/>
        </w:rPr>
        <w:t>体育部</w:t>
      </w:r>
      <w:r>
        <w:rPr>
          <w:rFonts w:hint="eastAsia" w:ascii="Times New Roman" w:hAnsi="Times New Roman" w:cs="Times New Roman"/>
          <w:color w:val="auto"/>
          <w:lang w:val="en-US" w:eastAsia="zh-CN"/>
        </w:rPr>
        <w:t>由教学副</w:t>
      </w:r>
      <w:r>
        <w:rPr>
          <w:rFonts w:hint="eastAsia" w:cs="Times New Roman"/>
          <w:color w:val="auto"/>
          <w:lang w:val="en-US" w:eastAsia="zh-CN"/>
        </w:rPr>
        <w:t>主任</w:t>
      </w:r>
      <w:r>
        <w:rPr>
          <w:rFonts w:hint="eastAsia" w:ascii="Times New Roman" w:hAnsi="Times New Roman" w:cs="Times New Roman"/>
          <w:color w:val="auto"/>
          <w:lang w:val="en-US" w:eastAsia="zh-CN"/>
        </w:rPr>
        <w:t>牵头，组织教研室主任制定了</w:t>
      </w:r>
      <w:r>
        <w:rPr>
          <w:rFonts w:hint="eastAsia" w:cs="Times New Roman"/>
          <w:color w:val="auto"/>
          <w:lang w:val="en-US" w:eastAsia="zh-CN"/>
        </w:rPr>
        <w:t>教学</w:t>
      </w:r>
      <w:r>
        <w:rPr>
          <w:rFonts w:hint="eastAsia" w:ascii="Times New Roman" w:hAnsi="Times New Roman" w:cs="Times New Roman"/>
          <w:color w:val="auto"/>
          <w:lang w:val="en-US" w:eastAsia="zh-CN"/>
        </w:rPr>
        <w:t>管理制度</w:t>
      </w:r>
      <w:r>
        <w:rPr>
          <w:rFonts w:hint="eastAsia" w:cs="Times New Roman"/>
          <w:color w:val="auto"/>
          <w:lang w:val="en-US" w:eastAsia="zh-CN"/>
        </w:rPr>
        <w:t>29</w:t>
      </w:r>
      <w:r>
        <w:rPr>
          <w:rFonts w:hint="eastAsia" w:ascii="Times New Roman" w:hAnsi="Times New Roman" w:cs="Times New Roman"/>
          <w:color w:val="auto"/>
          <w:lang w:val="en-US" w:eastAsia="zh-CN"/>
        </w:rPr>
        <w:t>个</w:t>
      </w:r>
      <w:r>
        <w:rPr>
          <w:rFonts w:hint="eastAsia" w:cs="Times New Roman"/>
          <w:color w:val="auto"/>
          <w:lang w:val="en-US" w:eastAsia="zh-CN"/>
        </w:rPr>
        <w:t>.</w:t>
      </w:r>
    </w:p>
    <w:p w14:paraId="7715B3A5">
      <w:pPr>
        <w:keepNext w:val="0"/>
        <w:keepLines w:val="0"/>
        <w:pageBreakBefore w:val="0"/>
        <w:widowControl w:val="0"/>
        <w:kinsoku/>
        <w:wordWrap/>
        <w:overflowPunct/>
        <w:topLinePunct w:val="0"/>
        <w:autoSpaceDE w:val="0"/>
        <w:autoSpaceDN w:val="0"/>
        <w:bidi w:val="0"/>
        <w:adjustRightInd/>
        <w:snapToGrid/>
        <w:spacing w:line="500" w:lineRule="exact"/>
        <w:ind w:left="0" w:firstLine="560" w:firstLineChars="200"/>
        <w:jc w:val="left"/>
        <w:textAlignment w:val="auto"/>
        <w:rPr>
          <w:rFonts w:hint="default" w:ascii="宋体" w:hAnsi="宋体" w:cs="宋体"/>
          <w:color w:val="auto"/>
          <w:kern w:val="0"/>
          <w:sz w:val="28"/>
          <w:szCs w:val="28"/>
          <w:lang w:eastAsia="zh-CN"/>
        </w:rPr>
      </w:pPr>
      <w:r>
        <w:rPr>
          <w:rFonts w:hint="eastAsia" w:ascii="宋体" w:hAnsi="宋体" w:cs="宋体"/>
          <w:color w:val="auto"/>
          <w:kern w:val="0"/>
          <w:sz w:val="28"/>
          <w:szCs w:val="28"/>
          <w:lang w:val="en-US" w:eastAsia="zh-CN"/>
        </w:rPr>
        <w:t>4.根据第一轮学校专家对体育部评估材料反馈意见，体育部在2024年12月制定了整改</w:t>
      </w:r>
      <w:r>
        <w:rPr>
          <w:rFonts w:hint="default" w:ascii="宋体" w:hAnsi="宋体" w:cs="宋体"/>
          <w:color w:val="auto"/>
          <w:kern w:val="0"/>
          <w:sz w:val="28"/>
          <w:szCs w:val="28"/>
          <w:lang w:eastAsia="zh-CN"/>
        </w:rPr>
        <w:t>方案。</w:t>
      </w:r>
    </w:p>
    <w:p w14:paraId="1060C8EB">
      <w:pPr>
        <w:keepNext w:val="0"/>
        <w:keepLines w:val="0"/>
        <w:pageBreakBefore w:val="0"/>
        <w:widowControl w:val="0"/>
        <w:kinsoku/>
        <w:wordWrap/>
        <w:overflowPunct/>
        <w:topLinePunct w:val="0"/>
        <w:autoSpaceDE w:val="0"/>
        <w:autoSpaceDN w:val="0"/>
        <w:bidi w:val="0"/>
        <w:adjustRightInd/>
        <w:snapToGrid/>
        <w:spacing w:line="500" w:lineRule="exact"/>
        <w:ind w:left="0" w:firstLine="560" w:firstLineChars="200"/>
        <w:jc w:val="left"/>
        <w:textAlignment w:val="auto"/>
        <w:rPr>
          <w:rFonts w:hint="eastAsia" w:ascii="宋体" w:hAnsi="宋体" w:cs="宋体"/>
          <w:color w:val="auto"/>
          <w:kern w:val="0"/>
          <w:sz w:val="28"/>
          <w:szCs w:val="28"/>
        </w:rPr>
      </w:pPr>
      <w:r>
        <w:rPr>
          <w:rFonts w:hint="eastAsia" w:ascii="宋体" w:hAnsi="宋体" w:cs="宋体"/>
          <w:color w:val="auto"/>
          <w:kern w:val="0"/>
          <w:sz w:val="28"/>
          <w:szCs w:val="28"/>
        </w:rPr>
        <w:t>第一阶段：学习动员（2024.12</w:t>
      </w:r>
      <w:r>
        <w:rPr>
          <w:rFonts w:hint="eastAsia" w:ascii="宋体" w:hAnsi="宋体" w:cs="宋体"/>
          <w:color w:val="auto"/>
          <w:kern w:val="0"/>
          <w:sz w:val="28"/>
          <w:szCs w:val="28"/>
          <w:lang w:val="en-US" w:eastAsia="zh-CN"/>
        </w:rPr>
        <w:t>.20</w:t>
      </w:r>
      <w:r>
        <w:rPr>
          <w:rFonts w:hint="eastAsia" w:ascii="宋体" w:hAnsi="宋体" w:cs="宋体"/>
          <w:color w:val="auto"/>
          <w:kern w:val="0"/>
          <w:sz w:val="28"/>
          <w:szCs w:val="28"/>
        </w:rPr>
        <w:t>-2025.1.20）</w:t>
      </w:r>
    </w:p>
    <w:p w14:paraId="16C3BF0F">
      <w:pPr>
        <w:keepNext w:val="0"/>
        <w:keepLines w:val="0"/>
        <w:pageBreakBefore w:val="0"/>
        <w:widowControl w:val="0"/>
        <w:kinsoku/>
        <w:wordWrap/>
        <w:overflowPunct/>
        <w:topLinePunct w:val="0"/>
        <w:autoSpaceDE w:val="0"/>
        <w:autoSpaceDN w:val="0"/>
        <w:bidi w:val="0"/>
        <w:adjustRightInd/>
        <w:snapToGrid/>
        <w:spacing w:line="500" w:lineRule="exact"/>
        <w:ind w:left="0" w:firstLine="560" w:firstLineChars="200"/>
        <w:jc w:val="left"/>
        <w:textAlignment w:val="auto"/>
        <w:rPr>
          <w:rFonts w:ascii="宋体" w:hAnsi="宋体" w:cs="宋体"/>
          <w:color w:val="auto"/>
          <w:kern w:val="0"/>
          <w:sz w:val="28"/>
          <w:szCs w:val="28"/>
        </w:rPr>
      </w:pPr>
      <w:r>
        <w:rPr>
          <w:rFonts w:hint="eastAsia" w:ascii="宋体" w:hAnsi="宋体" w:cs="宋体"/>
          <w:color w:val="auto"/>
          <w:kern w:val="0"/>
          <w:sz w:val="28"/>
          <w:szCs w:val="28"/>
        </w:rPr>
        <w:t>组织学习评估文件，要求每位教师逐项掌握考核标准，领会指标内涵。</w:t>
      </w:r>
    </w:p>
    <w:p w14:paraId="51A9FEF2">
      <w:pPr>
        <w:keepNext w:val="0"/>
        <w:keepLines w:val="0"/>
        <w:pageBreakBefore w:val="0"/>
        <w:widowControl w:val="0"/>
        <w:kinsoku/>
        <w:wordWrap/>
        <w:overflowPunct/>
        <w:topLinePunct w:val="0"/>
        <w:autoSpaceDE w:val="0"/>
        <w:autoSpaceDN w:val="0"/>
        <w:bidi w:val="0"/>
        <w:adjustRightInd/>
        <w:snapToGrid/>
        <w:spacing w:line="500" w:lineRule="exact"/>
        <w:ind w:left="0" w:firstLine="560" w:firstLineChars="200"/>
        <w:jc w:val="left"/>
        <w:textAlignment w:val="auto"/>
        <w:rPr>
          <w:rFonts w:hint="eastAsia" w:ascii="宋体" w:hAnsi="宋体" w:cs="宋体"/>
          <w:color w:val="auto"/>
          <w:kern w:val="0"/>
          <w:sz w:val="28"/>
          <w:szCs w:val="28"/>
        </w:rPr>
      </w:pPr>
      <w:r>
        <w:rPr>
          <w:rFonts w:hint="eastAsia" w:ascii="宋体" w:hAnsi="宋体" w:cs="宋体"/>
          <w:color w:val="auto"/>
          <w:kern w:val="0"/>
          <w:sz w:val="28"/>
          <w:szCs w:val="28"/>
        </w:rPr>
        <w:t>第二阶段：建章立制（2025.1.21-2.</w:t>
      </w:r>
      <w:r>
        <w:rPr>
          <w:rFonts w:hint="eastAsia" w:ascii="宋体" w:hAnsi="宋体" w:cs="宋体"/>
          <w:color w:val="auto"/>
          <w:kern w:val="0"/>
          <w:sz w:val="28"/>
          <w:szCs w:val="28"/>
          <w:lang w:val="en-US" w:eastAsia="zh-CN"/>
        </w:rPr>
        <w:t>2</w:t>
      </w:r>
      <w:r>
        <w:rPr>
          <w:rFonts w:hint="eastAsia" w:ascii="宋体" w:hAnsi="宋体" w:cs="宋体"/>
          <w:color w:val="auto"/>
          <w:kern w:val="0"/>
          <w:sz w:val="28"/>
          <w:szCs w:val="28"/>
        </w:rPr>
        <w:t>0）</w:t>
      </w:r>
    </w:p>
    <w:p w14:paraId="1D045C9C">
      <w:pPr>
        <w:keepNext w:val="0"/>
        <w:keepLines w:val="0"/>
        <w:pageBreakBefore w:val="0"/>
        <w:widowControl w:val="0"/>
        <w:kinsoku/>
        <w:wordWrap/>
        <w:overflowPunct/>
        <w:topLinePunct w:val="0"/>
        <w:autoSpaceDE w:val="0"/>
        <w:autoSpaceDN w:val="0"/>
        <w:bidi w:val="0"/>
        <w:adjustRightInd/>
        <w:snapToGrid/>
        <w:spacing w:line="500" w:lineRule="exact"/>
        <w:ind w:left="0" w:firstLine="560" w:firstLineChars="200"/>
        <w:jc w:val="left"/>
        <w:textAlignment w:val="auto"/>
        <w:rPr>
          <w:rFonts w:hint="eastAsia" w:ascii="宋体" w:hAnsi="宋体" w:cs="宋体"/>
          <w:color w:val="auto"/>
          <w:kern w:val="0"/>
          <w:sz w:val="28"/>
          <w:szCs w:val="28"/>
        </w:rPr>
      </w:pPr>
      <w:r>
        <w:rPr>
          <w:rFonts w:hint="eastAsia" w:ascii="宋体" w:hAnsi="宋体" w:cs="宋体"/>
          <w:color w:val="auto"/>
          <w:kern w:val="0"/>
          <w:sz w:val="28"/>
          <w:szCs w:val="28"/>
        </w:rPr>
        <w:t>健全</w:t>
      </w:r>
      <w:r>
        <w:rPr>
          <w:rFonts w:hint="eastAsia" w:ascii="宋体" w:hAnsi="宋体" w:cs="宋体"/>
          <w:color w:val="auto"/>
          <w:kern w:val="0"/>
          <w:sz w:val="28"/>
          <w:szCs w:val="28"/>
          <w:lang w:val="en-US" w:eastAsia="zh-CN"/>
        </w:rPr>
        <w:t>体育部</w:t>
      </w:r>
      <w:r>
        <w:rPr>
          <w:rFonts w:hint="eastAsia" w:ascii="宋体" w:hAnsi="宋体" w:cs="宋体"/>
          <w:color w:val="auto"/>
          <w:kern w:val="0"/>
          <w:sz w:val="28"/>
          <w:szCs w:val="28"/>
        </w:rPr>
        <w:t>各项管理制度，成立迎评考核机构，明确职责。</w:t>
      </w:r>
    </w:p>
    <w:p w14:paraId="3F08E120">
      <w:pPr>
        <w:keepNext w:val="0"/>
        <w:keepLines w:val="0"/>
        <w:pageBreakBefore w:val="0"/>
        <w:widowControl w:val="0"/>
        <w:kinsoku/>
        <w:wordWrap/>
        <w:overflowPunct/>
        <w:topLinePunct w:val="0"/>
        <w:autoSpaceDE w:val="0"/>
        <w:autoSpaceDN w:val="0"/>
        <w:bidi w:val="0"/>
        <w:adjustRightInd/>
        <w:snapToGrid/>
        <w:spacing w:line="500" w:lineRule="exact"/>
        <w:ind w:left="0" w:firstLine="560" w:firstLineChars="200"/>
        <w:jc w:val="left"/>
        <w:textAlignment w:val="auto"/>
        <w:rPr>
          <w:rFonts w:hint="eastAsia" w:ascii="宋体" w:hAnsi="宋体" w:cs="宋体"/>
          <w:color w:val="auto"/>
          <w:kern w:val="0"/>
          <w:sz w:val="28"/>
          <w:szCs w:val="28"/>
          <w:lang w:val="en-US" w:eastAsia="zh-CN"/>
        </w:rPr>
      </w:pPr>
      <w:r>
        <w:rPr>
          <w:rFonts w:hint="eastAsia" w:ascii="宋体" w:hAnsi="宋体" w:cs="宋体"/>
          <w:color w:val="auto"/>
          <w:kern w:val="0"/>
          <w:sz w:val="28"/>
          <w:szCs w:val="28"/>
          <w:lang w:val="en-US" w:eastAsia="zh-CN"/>
        </w:rPr>
        <w:t>第三阶段：梳理材料（2025.2.20-3.</w:t>
      </w:r>
      <w:r>
        <w:rPr>
          <w:rFonts w:hint="default" w:ascii="宋体" w:hAnsi="宋体" w:cs="宋体"/>
          <w:color w:val="auto"/>
          <w:kern w:val="0"/>
          <w:sz w:val="28"/>
          <w:szCs w:val="28"/>
          <w:lang w:val="en-US" w:eastAsia="zh-CN"/>
        </w:rPr>
        <w:t>10</w:t>
      </w:r>
      <w:r>
        <w:rPr>
          <w:rFonts w:hint="eastAsia" w:ascii="宋体" w:hAnsi="宋体" w:cs="宋体"/>
          <w:color w:val="auto"/>
          <w:kern w:val="0"/>
          <w:sz w:val="28"/>
          <w:szCs w:val="28"/>
          <w:lang w:val="en-US" w:eastAsia="zh-CN"/>
        </w:rPr>
        <w:t>）</w:t>
      </w:r>
    </w:p>
    <w:p w14:paraId="455AE125">
      <w:pPr>
        <w:keepNext w:val="0"/>
        <w:keepLines w:val="0"/>
        <w:pageBreakBefore w:val="0"/>
        <w:widowControl w:val="0"/>
        <w:kinsoku/>
        <w:wordWrap/>
        <w:overflowPunct/>
        <w:topLinePunct w:val="0"/>
        <w:autoSpaceDE w:val="0"/>
        <w:autoSpaceDN w:val="0"/>
        <w:bidi w:val="0"/>
        <w:adjustRightInd/>
        <w:snapToGrid/>
        <w:spacing w:line="500" w:lineRule="exact"/>
        <w:ind w:left="0" w:firstLine="560" w:firstLineChars="200"/>
        <w:jc w:val="left"/>
        <w:textAlignment w:val="auto"/>
        <w:rPr>
          <w:rFonts w:hint="eastAsia" w:ascii="Times New Roman" w:hAnsi="Times New Roman" w:cs="Times New Roman"/>
          <w:color w:val="auto"/>
          <w:lang w:val="en-US" w:eastAsia="zh-CN"/>
        </w:rPr>
      </w:pPr>
      <w:r>
        <w:rPr>
          <w:rFonts w:hint="eastAsia" w:ascii="宋体" w:hAnsi="宋体" w:cs="宋体"/>
          <w:color w:val="auto"/>
          <w:kern w:val="0"/>
          <w:sz w:val="28"/>
          <w:szCs w:val="28"/>
          <w:lang w:val="en-US" w:eastAsia="zh-CN"/>
        </w:rPr>
        <w:t>对现有的材料、成绩、不足进行整理、总结和分析，修改自评报告。</w:t>
      </w:r>
    </w:p>
    <w:p w14:paraId="3FA194FA">
      <w:pPr>
        <w:pStyle w:val="8"/>
        <w:keepNext w:val="0"/>
        <w:keepLines w:val="0"/>
        <w:pageBreakBefore w:val="0"/>
        <w:widowControl w:val="0"/>
        <w:kinsoku/>
        <w:wordWrap/>
        <w:overflowPunct/>
        <w:topLinePunct w:val="0"/>
        <w:autoSpaceDE w:val="0"/>
        <w:autoSpaceDN w:val="0"/>
        <w:bidi w:val="0"/>
        <w:adjustRightInd/>
        <w:snapToGrid/>
        <w:spacing w:line="500" w:lineRule="exact"/>
        <w:ind w:left="0" w:firstLine="560" w:firstLineChars="200"/>
        <w:jc w:val="left"/>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三、工作总体自评与存在的不足及原因</w:t>
      </w:r>
    </w:p>
    <w:p w14:paraId="0DBBCA73">
      <w:pPr>
        <w:pStyle w:val="8"/>
        <w:keepNext w:val="0"/>
        <w:keepLines w:val="0"/>
        <w:pageBreakBefore w:val="0"/>
        <w:widowControl w:val="0"/>
        <w:kinsoku/>
        <w:wordWrap/>
        <w:overflowPunct/>
        <w:topLinePunct w:val="0"/>
        <w:autoSpaceDE w:val="0"/>
        <w:autoSpaceDN w:val="0"/>
        <w:bidi w:val="0"/>
        <w:adjustRightInd/>
        <w:snapToGrid/>
        <w:spacing w:line="500" w:lineRule="exact"/>
        <w:ind w:left="0" w:firstLine="560" w:firstLineChars="200"/>
        <w:jc w:val="left"/>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1.前段工作总体能够按照学校的任务部署推进自查、自评与自建。任务表中规定的任务均得到了落实。</w:t>
      </w:r>
    </w:p>
    <w:p w14:paraId="305EF526">
      <w:pPr>
        <w:pStyle w:val="8"/>
        <w:keepNext w:val="0"/>
        <w:keepLines w:val="0"/>
        <w:pageBreakBefore w:val="0"/>
        <w:widowControl w:val="0"/>
        <w:kinsoku/>
        <w:wordWrap/>
        <w:overflowPunct/>
        <w:topLinePunct w:val="0"/>
        <w:autoSpaceDE w:val="0"/>
        <w:autoSpaceDN w:val="0"/>
        <w:bidi w:val="0"/>
        <w:adjustRightInd/>
        <w:snapToGrid/>
        <w:spacing w:line="500" w:lineRule="exact"/>
        <w:ind w:left="0" w:firstLine="560" w:firstLineChars="200"/>
        <w:jc w:val="left"/>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2.存在的不足：部分整改不够到位，质量的把控存在漏洞。</w:t>
      </w:r>
      <w:r>
        <w:rPr>
          <w:rFonts w:hint="eastAsia" w:cs="Times New Roman"/>
          <w:color w:val="auto"/>
          <w:lang w:val="en-US" w:eastAsia="zh-CN"/>
        </w:rPr>
        <w:t>部门</w:t>
      </w:r>
      <w:r>
        <w:rPr>
          <w:rFonts w:hint="eastAsia" w:ascii="Times New Roman" w:hAnsi="Times New Roman" w:cs="Times New Roman"/>
          <w:color w:val="auto"/>
          <w:lang w:val="en-US" w:eastAsia="zh-CN"/>
        </w:rPr>
        <w:t>对于202</w:t>
      </w:r>
      <w:r>
        <w:rPr>
          <w:rFonts w:hint="eastAsia" w:cs="Times New Roman"/>
          <w:color w:val="auto"/>
          <w:lang w:val="en-US" w:eastAsia="zh-CN"/>
        </w:rPr>
        <w:t>2-2024年师范认证班级的</w:t>
      </w:r>
      <w:r>
        <w:rPr>
          <w:rFonts w:hint="eastAsia" w:ascii="Times New Roman" w:hAnsi="Times New Roman" w:cs="Times New Roman"/>
          <w:color w:val="auto"/>
          <w:lang w:val="en-US" w:eastAsia="zh-CN"/>
        </w:rPr>
        <w:t>教学材料与实践材料的整改虽然花大力气部署，但是由于缺少奖惩措施，部分教师整改主动性不够强，存在抽检要求整改老师们才予以整改，不抽则不整改的问题。</w:t>
      </w:r>
    </w:p>
    <w:p w14:paraId="7BF63BF1">
      <w:pPr>
        <w:pStyle w:val="8"/>
        <w:keepNext w:val="0"/>
        <w:keepLines w:val="0"/>
        <w:pageBreakBefore w:val="0"/>
        <w:widowControl w:val="0"/>
        <w:kinsoku/>
        <w:wordWrap/>
        <w:overflowPunct/>
        <w:topLinePunct w:val="0"/>
        <w:autoSpaceDE w:val="0"/>
        <w:autoSpaceDN w:val="0"/>
        <w:bidi w:val="0"/>
        <w:adjustRightInd/>
        <w:snapToGrid/>
        <w:spacing w:line="500" w:lineRule="exact"/>
        <w:ind w:left="0" w:firstLine="560" w:firstLineChars="200"/>
        <w:jc w:val="left"/>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w:t>
      </w:r>
      <w:r>
        <w:rPr>
          <w:rFonts w:hint="eastAsia" w:cs="Times New Roman"/>
          <w:color w:val="auto"/>
          <w:lang w:val="en-US" w:eastAsia="zh-CN"/>
        </w:rPr>
        <w:t>部门</w:t>
      </w:r>
      <w:r>
        <w:rPr>
          <w:rFonts w:hint="eastAsia" w:ascii="Times New Roman" w:hAnsi="Times New Roman" w:cs="Times New Roman"/>
          <w:color w:val="auto"/>
          <w:lang w:val="en-US" w:eastAsia="zh-CN"/>
        </w:rPr>
        <w:t>一盘棋的工作格局尚待形成，单靠</w:t>
      </w:r>
      <w:r>
        <w:rPr>
          <w:rFonts w:hint="eastAsia" w:cs="Times New Roman"/>
          <w:color w:val="auto"/>
          <w:lang w:val="en-US" w:eastAsia="zh-CN"/>
        </w:rPr>
        <w:t>教学副主任</w:t>
      </w:r>
      <w:r>
        <w:rPr>
          <w:rFonts w:hint="eastAsia" w:ascii="Times New Roman" w:hAnsi="Times New Roman" w:cs="Times New Roman"/>
          <w:color w:val="auto"/>
          <w:lang w:val="en-US" w:eastAsia="zh-CN"/>
        </w:rPr>
        <w:t>进行指导推进在精力上而言是不现实的，需要</w:t>
      </w:r>
      <w:r>
        <w:rPr>
          <w:rFonts w:hint="eastAsia" w:cs="Times New Roman"/>
          <w:color w:val="auto"/>
          <w:lang w:val="en-US" w:eastAsia="zh-CN"/>
        </w:rPr>
        <w:t>全体教师</w:t>
      </w:r>
      <w:r>
        <w:rPr>
          <w:rFonts w:hint="eastAsia" w:ascii="Times New Roman" w:hAnsi="Times New Roman" w:cs="Times New Roman"/>
          <w:color w:val="auto"/>
          <w:lang w:val="en-US" w:eastAsia="zh-CN"/>
        </w:rPr>
        <w:t>自觉加强学习，根据</w:t>
      </w:r>
      <w:r>
        <w:rPr>
          <w:rFonts w:hint="eastAsia" w:cs="Times New Roman"/>
          <w:color w:val="auto"/>
          <w:lang w:val="en-US" w:eastAsia="zh-CN"/>
        </w:rPr>
        <w:t>部门</w:t>
      </w:r>
      <w:r>
        <w:rPr>
          <w:rFonts w:hint="eastAsia" w:ascii="Times New Roman" w:hAnsi="Times New Roman" w:cs="Times New Roman"/>
          <w:color w:val="auto"/>
          <w:lang w:val="en-US" w:eastAsia="zh-CN"/>
        </w:rPr>
        <w:t>任务表自主予以推进。</w:t>
      </w:r>
    </w:p>
    <w:p w14:paraId="5911AB40">
      <w:pPr>
        <w:pStyle w:val="8"/>
        <w:keepNext w:val="0"/>
        <w:keepLines w:val="0"/>
        <w:pageBreakBefore w:val="0"/>
        <w:widowControl w:val="0"/>
        <w:kinsoku/>
        <w:wordWrap/>
        <w:overflowPunct/>
        <w:topLinePunct w:val="0"/>
        <w:autoSpaceDE w:val="0"/>
        <w:autoSpaceDN w:val="0"/>
        <w:bidi w:val="0"/>
        <w:adjustRightInd/>
        <w:snapToGrid/>
        <w:spacing w:line="500" w:lineRule="exact"/>
        <w:ind w:left="0" w:firstLine="560" w:firstLineChars="200"/>
        <w:jc w:val="left"/>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4.希望全校形成一盘棋的格局，每一个阶段、每一个环节提出具体的要求、提供规范的模版。譬如教师档案</w:t>
      </w:r>
      <w:bookmarkStart w:id="200" w:name="_GoBack"/>
      <w:bookmarkEnd w:id="200"/>
      <w:r>
        <w:rPr>
          <w:rFonts w:hint="eastAsia" w:ascii="Times New Roman" w:hAnsi="Times New Roman" w:cs="Times New Roman"/>
          <w:color w:val="auto"/>
          <w:lang w:val="en-US" w:eastAsia="zh-CN"/>
        </w:rPr>
        <w:t>的建立，需要什么内容、档案盒怎么制作；原来的教案模板已经过时，从封面到内容都需要重新统一，对于教案具体的规定实是什么等等。</w:t>
      </w:r>
    </w:p>
    <w:p w14:paraId="4DBC23D7">
      <w:pPr>
        <w:pStyle w:val="8"/>
        <w:keepNext w:val="0"/>
        <w:keepLines w:val="0"/>
        <w:pageBreakBefore w:val="0"/>
        <w:widowControl w:val="0"/>
        <w:kinsoku/>
        <w:wordWrap/>
        <w:overflowPunct/>
        <w:topLinePunct w:val="0"/>
        <w:autoSpaceDE w:val="0"/>
        <w:autoSpaceDN w:val="0"/>
        <w:bidi w:val="0"/>
        <w:adjustRightInd/>
        <w:snapToGrid/>
        <w:spacing w:line="500" w:lineRule="exact"/>
        <w:ind w:left="0" w:firstLine="562" w:firstLineChars="200"/>
        <w:jc w:val="left"/>
        <w:textAlignment w:val="auto"/>
        <w:rPr>
          <w:rFonts w:ascii="Times New Roman" w:hAnsi="Times New Roman" w:cs="Times New Roman"/>
          <w:color w:val="auto"/>
        </w:rPr>
      </w:pPr>
      <w:r>
        <w:rPr>
          <w:rFonts w:hint="eastAsia" w:ascii="Times New Roman" w:hAnsi="Times New Roman" w:cs="Times New Roman"/>
          <w:b/>
          <w:bCs/>
          <w:color w:val="auto"/>
          <w:lang w:eastAsia="zh-CN"/>
        </w:rPr>
        <w:t>主要</w:t>
      </w:r>
      <w:r>
        <w:rPr>
          <w:rFonts w:ascii="Times New Roman" w:hAnsi="Times New Roman" w:cs="Times New Roman"/>
          <w:b/>
          <w:bCs/>
          <w:color w:val="auto"/>
        </w:rPr>
        <w:t>支撑材料：</w:t>
      </w:r>
      <w:r>
        <w:rPr>
          <w:rFonts w:ascii="Times New Roman" w:hAnsi="Times New Roman" w:cs="Times New Roman"/>
          <w:color w:val="auto"/>
        </w:rPr>
        <w:t>需附自查问题清单；支撑材料索引：</w:t>
      </w:r>
      <w:r>
        <w:rPr>
          <w:rFonts w:hint="eastAsia" w:cs="Times New Roman"/>
          <w:color w:val="auto"/>
          <w:lang w:val="en-US" w:eastAsia="zh-CN"/>
        </w:rPr>
        <w:t>部门</w:t>
      </w:r>
      <w:r>
        <w:rPr>
          <w:rFonts w:hint="eastAsia" w:ascii="Times New Roman" w:hAnsi="Times New Roman" w:cs="Times New Roman"/>
          <w:color w:val="auto"/>
          <w:lang w:eastAsia="zh-CN"/>
        </w:rPr>
        <w:t>考</w:t>
      </w:r>
      <w:r>
        <w:rPr>
          <w:rFonts w:ascii="Times New Roman" w:hAnsi="Times New Roman" w:cs="Times New Roman"/>
          <w:color w:val="auto"/>
        </w:rPr>
        <w:t>核评估工作领导小组</w:t>
      </w:r>
      <w:r>
        <w:rPr>
          <w:rFonts w:hint="eastAsia" w:ascii="Times New Roman" w:hAnsi="Times New Roman" w:cs="Times New Roman"/>
          <w:color w:val="auto"/>
        </w:rPr>
        <w:t>名单</w:t>
      </w:r>
      <w:r>
        <w:rPr>
          <w:rFonts w:ascii="Times New Roman" w:hAnsi="Times New Roman" w:cs="Times New Roman"/>
          <w:color w:val="auto"/>
        </w:rPr>
        <w:t>、自评自建工作方案、自评自建过程记录等。</w:t>
      </w:r>
    </w:p>
    <w:p w14:paraId="4F8018E4">
      <w:pPr>
        <w:pageBreakBefore w:val="0"/>
        <w:kinsoku/>
        <w:wordWrap/>
        <w:overflowPunct/>
        <w:bidi w:val="0"/>
        <w:spacing w:line="317" w:lineRule="auto"/>
        <w:rPr>
          <w:rFonts w:ascii="Times New Roman" w:hAnsi="Times New Roman" w:cs="Times New Roman"/>
          <w:b/>
          <w:bCs/>
          <w:color w:val="auto"/>
        </w:rPr>
      </w:pPr>
      <w:r>
        <w:rPr>
          <w:rFonts w:ascii="Times New Roman" w:hAnsi="Times New Roman" w:cs="Times New Roman"/>
          <w:b/>
          <w:bCs/>
          <w:color w:val="auto"/>
        </w:rPr>
        <w:br w:type="page"/>
      </w:r>
    </w:p>
    <w:p w14:paraId="0EA93FE1">
      <w:pPr>
        <w:pStyle w:val="2"/>
        <w:keepNext w:val="0"/>
        <w:keepLines w:val="0"/>
        <w:pageBreakBefore w:val="0"/>
        <w:widowControl w:val="0"/>
        <w:kinsoku/>
        <w:wordWrap/>
        <w:overflowPunct/>
        <w:topLinePunct w:val="0"/>
        <w:autoSpaceDE w:val="0"/>
        <w:autoSpaceDN w:val="0"/>
        <w:bidi w:val="0"/>
        <w:adjustRightInd/>
        <w:snapToGrid/>
        <w:spacing w:line="317" w:lineRule="auto"/>
        <w:ind w:left="0" w:leftChars="0" w:right="0" w:firstLine="0" w:firstLineChars="0"/>
        <w:jc w:val="center"/>
        <w:textAlignment w:val="auto"/>
        <w:rPr>
          <w:rFonts w:ascii="Times New Roman" w:hAnsi="Times New Roman" w:cs="Times New Roman"/>
          <w:b/>
          <w:bCs/>
          <w:color w:val="auto"/>
        </w:rPr>
      </w:pPr>
      <w:bookmarkStart w:id="9" w:name="_Toc19727"/>
      <w:r>
        <w:rPr>
          <w:rFonts w:hint="eastAsia" w:ascii="Times New Roman" w:hAnsi="Times New Roman" w:cs="Times New Roman"/>
          <w:b/>
          <w:bCs/>
          <w:color w:val="auto"/>
          <w:lang w:val="en-US" w:eastAsia="zh-CN"/>
        </w:rPr>
        <w:t xml:space="preserve">第三部分   </w:t>
      </w:r>
      <w:r>
        <w:rPr>
          <w:rFonts w:ascii="Times New Roman" w:hAnsi="Times New Roman" w:cs="Times New Roman"/>
          <w:b/>
          <w:bCs/>
          <w:color w:val="auto"/>
        </w:rPr>
        <w:t>学院自评结果</w:t>
      </w:r>
      <w:bookmarkEnd w:id="9"/>
    </w:p>
    <w:p w14:paraId="1F1B7116">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eastAsia" w:ascii="黑体" w:hAnsi="黑体" w:eastAsia="黑体" w:cs="黑体"/>
          <w:b/>
          <w:bCs/>
          <w:color w:val="auto"/>
          <w:sz w:val="32"/>
          <w:szCs w:val="32"/>
          <w:lang w:val="en-US" w:eastAsia="zh-CN"/>
        </w:rPr>
      </w:pPr>
      <w:bookmarkStart w:id="10" w:name="_Toc21726"/>
      <w:r>
        <w:rPr>
          <w:rFonts w:hint="eastAsia" w:ascii="黑体" w:hAnsi="黑体" w:cs="黑体"/>
          <w:b/>
          <w:bCs/>
          <w:color w:val="auto"/>
          <w:sz w:val="32"/>
          <w:szCs w:val="32"/>
          <w:lang w:val="en-US" w:eastAsia="zh-CN"/>
        </w:rPr>
        <w:t>1.</w:t>
      </w:r>
      <w:r>
        <w:rPr>
          <w:rFonts w:hint="eastAsia" w:ascii="黑体" w:hAnsi="黑体" w:eastAsia="黑体" w:cs="黑体"/>
          <w:b/>
          <w:bCs/>
          <w:color w:val="auto"/>
          <w:sz w:val="32"/>
          <w:szCs w:val="32"/>
          <w:lang w:val="en-US" w:eastAsia="zh-CN"/>
        </w:rPr>
        <w:t>办学方向与本科地位</w:t>
      </w:r>
      <w:bookmarkEnd w:id="10"/>
    </w:p>
    <w:p w14:paraId="56B12FC5">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eastAsia" w:ascii="黑体" w:hAnsi="黑体" w:eastAsia="黑体" w:cs="黑体"/>
          <w:b/>
          <w:bCs/>
          <w:color w:val="auto"/>
          <w:sz w:val="32"/>
          <w:szCs w:val="32"/>
          <w:lang w:val="en-US" w:eastAsia="zh-CN"/>
        </w:rPr>
      </w:pPr>
      <w:bookmarkStart w:id="11" w:name="_Toc28510"/>
      <w:r>
        <w:rPr>
          <w:rFonts w:hint="eastAsia" w:ascii="黑体" w:hAnsi="黑体" w:eastAsia="黑体" w:cs="黑体"/>
          <w:b/>
          <w:bCs/>
          <w:color w:val="auto"/>
          <w:sz w:val="32"/>
          <w:szCs w:val="32"/>
          <w:lang w:val="zh-CN" w:eastAsia="zh-CN"/>
        </w:rPr>
        <w:t>1.1 党的领导</w:t>
      </w:r>
      <w:bookmarkEnd w:id="11"/>
    </w:p>
    <w:p w14:paraId="4F016FBC">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12" w:name="_Toc19192"/>
      <w:bookmarkStart w:id="13" w:name="_Toc10244"/>
      <w:r>
        <w:rPr>
          <w:rFonts w:hint="eastAsia" w:ascii="仿宋" w:hAnsi="仿宋" w:eastAsia="仿宋" w:cs="仿宋"/>
          <w:b/>
          <w:bCs/>
          <w:color w:val="auto"/>
          <w:sz w:val="28"/>
          <w:szCs w:val="28"/>
          <w:lang w:val="en-US" w:eastAsia="zh-CN"/>
        </w:rPr>
        <w:t>1.1.1坚持党的全面领导，依法治教、依法办学、依法治校</w:t>
      </w:r>
      <w:bookmarkEnd w:id="12"/>
      <w:bookmarkEnd w:id="13"/>
    </w:p>
    <w:p w14:paraId="1DB66E29">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为切实贯彻党的教育方针，坚定社会主义办学方向，体育部在“十四五”期间进一步强化教师依法执教的意识。通过定期组织普法学法活动，系统学习国家教育法律法规，确保所有教师学法考试全部通过。同时，结合岗前培训和岗位培训，组织教职工深入学习党的政策以及习近平总书记关于教育的重要讲话精神，进一步强化教师依法依规执教的意识，为培养德智体美劳全面发展的社会主义建设者和接班人贡献力量。</w:t>
      </w:r>
    </w:p>
    <w:p w14:paraId="0DE51CA0">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体育部紧密结合学校办学定位和“十四五”规划目标，提炼体育特色举措。具体措施包括：一是将体育课程与思想政治教育深度融合，通过体育教学传递社会主义核心价值观，培养学生的团队协作精神、竞争意识和体育道德，实现体育与德育的有机结合；二是以“健康第一”为指导思想，构建具有湖南女子学院特色的体育课程体系，重点发展形体训练、健美操、体育舞蹈等特色项目，打造质量品牌，提高体育教学的竞争力；三是加强体育课程思政建设，通过组织体育赛事、体育文化活动等形式，加强学生的思想政治教育，使学生在体育活动中接受爱国主义、集体主义教育，提升学生的国家意识和社会责任感。</w:t>
      </w:r>
    </w:p>
    <w:p w14:paraId="3530D841">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14" w:name="_Toc19414"/>
      <w:bookmarkStart w:id="15" w:name="_Toc18874"/>
      <w:r>
        <w:rPr>
          <w:rFonts w:hint="eastAsia" w:ascii="仿宋" w:hAnsi="仿宋" w:eastAsia="仿宋" w:cs="仿宋"/>
          <w:b/>
          <w:bCs/>
          <w:color w:val="auto"/>
          <w:sz w:val="28"/>
          <w:szCs w:val="28"/>
          <w:lang w:val="en-US" w:eastAsia="zh-CN"/>
        </w:rPr>
        <w:t>1.1.2坚持社会主义办学方向，落实立德树人根本任务</w:t>
      </w:r>
      <w:bookmarkEnd w:id="14"/>
      <w:bookmarkEnd w:id="15"/>
    </w:p>
    <w:p w14:paraId="68910990">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体育部始终坚持社会主义办学方向，深入贯彻落实党的教育方针，以立德树人为根本任务，致力于培养德智体美劳全面发展的社会主义建设者和接班人。在这一过程中，体育部将体育教育作为实施素质教育和培养全面发展人才的重要途径，通过体育课程的教学，不仅传授基本体育理论知识和运动技能，更注重培养学生的意志品质和良好的体育运动习惯。体育部坚持以体育人，通过体育锻炼增强体质、健全人格、锤炼意志，使学生在锻炼身体的同时，也能增强社会责任感和集体荣誉感，形成终身体育的健身理念。</w:t>
      </w:r>
    </w:p>
    <w:p w14:paraId="56E1C221">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在具体实践中，体育部紧密结合学校总体人才培养方案，制定并实施了具有我校特色的体育素质教育培养方案。通过多样化的体育课程设置和丰富的体育活动，体育部积极推动学生身心健康发展，培养学生的团队协作精神和竞争意识。同时，体育部还注重将思想政治教育融入体育教学中，通过体育赛事、体育文化活动等形式，加强学生的思想政治教育，使学生在体育活动中接受爱国主义、集体主义教育，提升学生的国家意识和社会责任感。在课堂教学、教育管理、校园文化、社会实践、师生服务等方面坚持教育、管理与服务协同育人，逐步形成了全员、全程、全方位的“三全育人”共识。这些举措不仅提升了学生的体育素养，也为学生的全面发展奠定了坚实的基础，体现了体育部在坚持社会主义办学方向、落实立德树人根本任务方面的积极作为和显著成效；</w:t>
      </w:r>
    </w:p>
    <w:p w14:paraId="636D010C">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16" w:name="_Toc15517"/>
      <w:bookmarkStart w:id="17" w:name="_Toc1153"/>
      <w:r>
        <w:rPr>
          <w:rFonts w:hint="eastAsia" w:ascii="仿宋" w:hAnsi="仿宋" w:eastAsia="仿宋" w:cs="仿宋"/>
          <w:b/>
          <w:bCs/>
          <w:color w:val="auto"/>
          <w:sz w:val="28"/>
          <w:szCs w:val="28"/>
          <w:lang w:val="en-US" w:eastAsia="zh-CN"/>
        </w:rPr>
        <w:t>1.1.3落实学校办学规划与办学定位</w:t>
      </w:r>
      <w:bookmarkEnd w:id="16"/>
      <w:bookmarkEnd w:id="17"/>
    </w:p>
    <w:p w14:paraId="315436FC">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体育部在落实学校办学规划与办学定位方面，始终坚持与学校的发展愿景和教育目标保持一致。体育部深刻理解学校作为培养合格人才的高等院校的使命，积极贯彻学校以“培养具有女院特色、综合素质高的应用型人才”的办学宗旨，通过体育教学和体育活动，致力于提升学生的身体素质和健康意识，培养学生的团队合作能力、竞争意识以及坚韧不拔的精神。在具体的教学实践中，体育部紧密结合学校的发展目标及《体育部十四五建设发展规划》等制度文件，优化课程设置，加强师资队伍建设，提升教学质量，确保体育教育与学校整体教育目标相协调，为学生提供全面、多元的体育教育资源，满足学生个性化发展的需求，同时也为学校的长远发展和特色建设做出积极贡献。</w:t>
      </w:r>
    </w:p>
    <w:p w14:paraId="6357B76B">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cs="仿宋"/>
          <w:b w:val="0"/>
          <w:bCs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体育部在执行学校办学规划的过程中，特别注重将体育教育与学校的教育特色相结合，强化体育课程的设计，以适应女院学生的身体特点和兴趣爱好。通过开设形体、健美操、啦啦操、球类选项课等符合学生需求的课程，不仅提高了学生的体育技能，也增强了学生的自信心和审美能力。此外，体育部还积极响应国家对体育教育的要求，通过组织各类体育竞赛和活动，激发学生的运动热情，培养学生的体育竞技能力和团队精神。这些活动不仅丰富了校园文化生活，也加强了学生的社会实践能力，为学生未来的社会融入和职业发展打下了坚实的基础。通过这些举措，体育部确保了学校办学规划与办学定位在体育教育领域的有效实施，为学校培养具有创新精神和社会责任感的人才提供了有力支持。</w:t>
      </w:r>
    </w:p>
    <w:p w14:paraId="4D1B677C">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eastAsia" w:ascii="黑体" w:hAnsi="黑体" w:eastAsia="黑体" w:cs="黑体"/>
          <w:b/>
          <w:bCs/>
          <w:color w:val="auto"/>
          <w:sz w:val="32"/>
          <w:szCs w:val="32"/>
          <w:lang w:val="en-US" w:eastAsia="zh-CN"/>
        </w:rPr>
      </w:pPr>
      <w:bookmarkStart w:id="18" w:name="_Toc1482"/>
      <w:r>
        <w:rPr>
          <w:rFonts w:hint="eastAsia" w:ascii="黑体" w:hAnsi="黑体" w:eastAsia="黑体" w:cs="黑体"/>
          <w:b/>
          <w:bCs/>
          <w:color w:val="auto"/>
          <w:sz w:val="32"/>
          <w:szCs w:val="32"/>
          <w:lang w:val="en-US" w:eastAsia="zh-CN"/>
        </w:rPr>
        <w:t>1.2 思政教育</w:t>
      </w:r>
      <w:bookmarkEnd w:id="18"/>
    </w:p>
    <w:p w14:paraId="715C5D33">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19" w:name="_Toc13782"/>
      <w:bookmarkStart w:id="20" w:name="_Toc30979"/>
      <w:r>
        <w:rPr>
          <w:rFonts w:hint="eastAsia" w:ascii="仿宋" w:hAnsi="仿宋" w:eastAsia="仿宋" w:cs="仿宋"/>
          <w:b/>
          <w:bCs/>
          <w:color w:val="auto"/>
          <w:sz w:val="28"/>
          <w:szCs w:val="28"/>
          <w:lang w:val="en-US" w:eastAsia="zh-CN"/>
        </w:rPr>
        <w:t>1.2.1 加强思想政治工作体系建设，形成“三全育人”工作格局</w:t>
      </w:r>
      <w:bookmarkEnd w:id="19"/>
      <w:bookmarkEnd w:id="20"/>
    </w:p>
    <w:p w14:paraId="3B367AA8">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体育部始终坚持以习近平新时代中国特色社会主义思想为指导，全面贯彻党的教育方针，坚持社会主义办学方向，以立德树人为根本任务，以理想信念教育为核心，以社会主义核心价值观为引领，全面提高学校思想政治教育工作能力水平。为构建“三全育人”大格局，体育部通过体育教学、科研、实践、文化、网络、心理、管理、服务、资助、组织等方面工作的育人功能，形成全员、全过程、全方位育人格局。</w:t>
      </w:r>
    </w:p>
    <w:p w14:paraId="40348497">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在体育教学中，体育部注重将思想政治教育融入体育课程，通过体育活动培养学生的团队协作精神、竞争意识和公平竞争的体育道德，实现体育与德育的有机结合。例如，在篮球、排球等球类项目中，强调团结协作和集体主义精神；在武术课程中，强调中华民族的传统美德和“习武先习德”的重要性。通过这些课程，学生不仅掌握了体育技能，还提升了思想道德素质。</w:t>
      </w:r>
    </w:p>
    <w:p w14:paraId="7A28EFEC">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为加强思想政治工作体系建设，体育部采取了多项措施。首先，体育部加强了体育课程思政建设，通过体育课程传递社会主义核心价值观，培养学生的社会责任感和国家荣誉感。其次，体育部通过组织各类体育竞赛和活动，如“睿智杯”高校女子足球邀请赛与校内足球联赛等，强化学生的集体荣誉感和团队精神，同时提升学生的思想政治素质。此外，体育部还注重体育教师的思想政治教育，通过定期培训和学习，提高教师的思想政治素质和教学能力，确保体育教学的正确政治方向。</w:t>
      </w:r>
    </w:p>
    <w:p w14:paraId="27785922">
      <w:pPr>
        <w:pageBreakBefore w:val="0"/>
        <w:kinsoku/>
        <w:wordWrap/>
        <w:overflowPunct/>
        <w:topLinePunct w:val="0"/>
        <w:autoSpaceDE w:val="0"/>
        <w:autoSpaceDN w:val="0"/>
        <w:bidi w:val="0"/>
        <w:adjustRightInd/>
        <w:snapToGrid/>
        <w:spacing w:line="500" w:lineRule="exact"/>
        <w:ind w:firstLine="518" w:firstLineChars="200"/>
        <w:textAlignment w:val="auto"/>
        <w:rPr>
          <w:rFonts w:hint="eastAsia" w:ascii="Times New Roman" w:hAnsi="Times New Roman" w:eastAsia="宋体" w:cs="Times New Roman"/>
          <w:b/>
          <w:color w:val="auto"/>
          <w:kern w:val="0"/>
          <w:sz w:val="28"/>
          <w:szCs w:val="28"/>
          <w:lang w:val="en-US" w:eastAsia="zh-CN" w:bidi="zh-CN"/>
        </w:rPr>
      </w:pPr>
      <w:r>
        <w:rPr>
          <w:rFonts w:hint="eastAsia" w:ascii="Times New Roman" w:hAnsi="Times New Roman" w:eastAsia="仿宋" w:cs="Times New Roman"/>
          <w:b/>
          <w:bCs/>
          <w:color w:val="auto"/>
          <w:spacing w:val="-11"/>
          <w:kern w:val="0"/>
          <w:sz w:val="28"/>
          <w:szCs w:val="28"/>
          <w:lang w:val="en-US" w:eastAsia="zh-CN" w:bidi="zh-CN"/>
        </w:rPr>
        <w:t>具体举措与成效：</w:t>
      </w:r>
    </w:p>
    <w:p w14:paraId="5C01EEE7">
      <w:pPr>
        <w:pageBreakBefore w:val="0"/>
        <w:kinsoku/>
        <w:wordWrap/>
        <w:overflowPunct/>
        <w:topLinePunct w:val="0"/>
        <w:autoSpaceDE w:val="0"/>
        <w:autoSpaceDN w:val="0"/>
        <w:bidi w:val="0"/>
        <w:adjustRightInd/>
        <w:snapToGrid/>
        <w:spacing w:line="500" w:lineRule="exact"/>
        <w:ind w:firstLine="518"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Times New Roman" w:hAnsi="Times New Roman" w:eastAsia="仿宋" w:cs="Times New Roman"/>
          <w:b/>
          <w:bCs/>
          <w:color w:val="auto"/>
          <w:spacing w:val="-11"/>
          <w:kern w:val="0"/>
          <w:sz w:val="28"/>
          <w:szCs w:val="28"/>
          <w:lang w:val="en-US" w:eastAsia="zh-CN" w:bidi="zh-CN"/>
        </w:rPr>
        <w:t>课程思政建设</w:t>
      </w:r>
      <w:r>
        <w:rPr>
          <w:rFonts w:hint="eastAsia" w:ascii="Times New Roman" w:hAnsi="Times New Roman" w:eastAsia="宋体" w:cs="Times New Roman"/>
          <w:b/>
          <w:color w:val="auto"/>
          <w:kern w:val="0"/>
          <w:sz w:val="28"/>
          <w:szCs w:val="28"/>
          <w:lang w:val="en-US" w:eastAsia="zh-CN" w:bidi="zh-CN"/>
        </w:rPr>
        <w:t>：</w:t>
      </w:r>
      <w:r>
        <w:rPr>
          <w:rFonts w:hint="eastAsia" w:ascii="仿宋" w:hAnsi="仿宋" w:eastAsia="仿宋" w:cs="仿宋"/>
          <w:b w:val="0"/>
          <w:color w:val="auto"/>
          <w:kern w:val="0"/>
          <w:sz w:val="28"/>
          <w:szCs w:val="28"/>
          <w:u w:val="none"/>
          <w:lang w:val="en-US" w:eastAsia="zh-CN" w:bidi="zh-CN"/>
        </w:rPr>
        <w:t>体育部制定了《体育课程思政建设实施方案》，明确将思政元素融入体育课程的具体要求和方法。通过课程设计，将社会主义核心价值观、爱国主义教育、集体主义精神等内容贯穿于体育教学全过程。例如，在形体训练课程中，融入女性自尊、自信、自立、自强的“四自”精神教育；在啦啦操课程中，强调团队协作和集体荣誉感。</w:t>
      </w:r>
    </w:p>
    <w:p w14:paraId="38C0E0B6">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活动育人：体育部每年组织超过10项校内外体育竞赛和活动，如“睿智杯”高校女子足球邀请赛、校内篮球联赛、啦啦操比赛等，参与学生超过3000人次。通过这些活动，学生不仅锻炼了身体，还增强了集体荣誉感和社会责任感。</w:t>
      </w:r>
    </w:p>
    <w:p w14:paraId="4FF6A099">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教师培训：体育部定期组织教师参加思想政治培训，邀请校内外专家开展讲座和研讨活动。2022-2024年期间，共组织教师培训12次，参与教师超过150人次。通过培训，教师的思想政治素质和课程思政教学能力显著提升。</w:t>
      </w:r>
    </w:p>
    <w:p w14:paraId="25783111">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育人机制建设：体育部建立了“三全育人”工作台账，明确各部门和教师在育人过程中的职责和任务。通过定期检查和评估，确保育人工作落实到位。同时，体育部还设立了“三全育人”专项奖励基金，对在育人工作中表现突出的教师和团队进行表彰和奖励。</w:t>
      </w:r>
    </w:p>
    <w:p w14:paraId="02E4A09D">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通过上述措施，湖南女子学院体育部在加强思想政治工作体系建设，形成“三全育人”工作格局方面取得了积极成效。体育部将继续坚持党的全面领导，深化体育教学改革，提升教学质量，为培养德智体美劳全面发展的社会主义建设者和接班人贡献力量。</w:t>
      </w:r>
    </w:p>
    <w:p w14:paraId="4410DCDE">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21" w:name="_Toc3916"/>
      <w:bookmarkStart w:id="22" w:name="_Toc19850"/>
      <w:r>
        <w:rPr>
          <w:rFonts w:hint="eastAsia" w:ascii="仿宋" w:hAnsi="仿宋" w:eastAsia="仿宋" w:cs="仿宋"/>
          <w:b/>
          <w:bCs/>
          <w:color w:val="auto"/>
          <w:sz w:val="28"/>
          <w:szCs w:val="28"/>
          <w:lang w:val="en-US" w:eastAsia="zh-CN"/>
        </w:rPr>
        <w:t>1.2.2 思政课建设卓有成效</w:t>
      </w:r>
      <w:bookmarkEnd w:id="21"/>
      <w:bookmarkEnd w:id="22"/>
    </w:p>
    <w:p w14:paraId="7DD4F83E">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体育部在课程思政建设方面，始终坚持以立德树人为核心，将思想政治教育贯穿于体育教学的全过程。体育部深入贯彻党的教育方针，落实立德树人根本任务，通过体育课程，不仅培养学生的体育技能，更注重培养学生的团队协作精神、竞争意识和公平竞争的体育道德。</w:t>
      </w:r>
    </w:p>
    <w:p w14:paraId="38314674">
      <w:pPr>
        <w:pageBreakBefore w:val="0"/>
        <w:kinsoku/>
        <w:wordWrap/>
        <w:overflowPunct/>
        <w:topLinePunct w:val="0"/>
        <w:autoSpaceDE w:val="0"/>
        <w:autoSpaceDN w:val="0"/>
        <w:bidi w:val="0"/>
        <w:adjustRightInd/>
        <w:snapToGrid/>
        <w:spacing w:line="500" w:lineRule="exact"/>
        <w:ind w:firstLine="562"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bCs/>
          <w:color w:val="auto"/>
          <w:kern w:val="0"/>
          <w:sz w:val="28"/>
          <w:szCs w:val="28"/>
          <w:u w:val="none"/>
          <w:lang w:val="en-US" w:eastAsia="zh-CN" w:bidi="zh-CN"/>
        </w:rPr>
        <w:t>具体举措与成效</w:t>
      </w:r>
      <w:r>
        <w:rPr>
          <w:rFonts w:hint="eastAsia" w:ascii="仿宋" w:hAnsi="仿宋" w:eastAsia="仿宋" w:cs="仿宋"/>
          <w:b w:val="0"/>
          <w:color w:val="auto"/>
          <w:kern w:val="0"/>
          <w:sz w:val="28"/>
          <w:szCs w:val="28"/>
          <w:u w:val="none"/>
          <w:lang w:val="en-US" w:eastAsia="zh-CN" w:bidi="zh-CN"/>
        </w:rPr>
        <w:t>：</w:t>
      </w:r>
    </w:p>
    <w:p w14:paraId="7DD3DBFE">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课程思政一体化建设：体育部积极推进课程思政教学体系一体化构建，通过创新教学方法和手段，提升课程思政的实效性。例如，采用开放式、互动式、创新式和激励式教学方法，激发学生的学习兴趣和积极性，同时强化学生的组织纪律性和集体荣誉感。近年来，体育部共开设了15门课程思政示范课程，覆盖了所有体育专业课程。</w:t>
      </w:r>
    </w:p>
    <w:p w14:paraId="45B8DBD9">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师资队伍建设：体育部注重师资队伍建设，提升教师的课程思政教学能力。通过组织教师参加课程思政相关培训和教学比赛，增强教师的思政教学意识和能力。2022-2024年期间，体育部教师共获得省级课程思政比赛奖项5项，校级课程思政比赛奖项10项。李照清老师的省级课程思政</w:t>
      </w:r>
      <w:r>
        <w:rPr>
          <w:rFonts w:hint="eastAsia" w:ascii="仿宋" w:hAnsi="仿宋" w:eastAsia="仿宋" w:cs="仿宋"/>
          <w:b w:val="0"/>
          <w:color w:val="auto"/>
          <w:spacing w:val="-6"/>
          <w:kern w:val="0"/>
          <w:sz w:val="28"/>
          <w:szCs w:val="28"/>
          <w:u w:val="none"/>
          <w:lang w:val="en-US" w:eastAsia="zh-CN" w:bidi="zh-CN"/>
        </w:rPr>
        <w:t>教改项目《大学体育》思政育人教学模式探索与实践在2024年顺利结项。</w:t>
      </w:r>
    </w:p>
    <w:p w14:paraId="4BEF806D">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实践育人路径探索：体育部在课程思政建设中注重实践路径的探索与实践。通过体育游戏、体育比赛、体育知识等途径，让学生树立正确的价值观，如拼搏奋进、全力争胜、尊重规则等观念，培养学生积极的人生观和科学的世界观。同时，体育部还重视学生行为习惯教育和价值观、人生观、世界观的建设，通过体育活动培养学生的爱国情操和民族自豪感。</w:t>
      </w:r>
    </w:p>
    <w:p w14:paraId="3DD88413">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学生评价与反馈：通过课程思政的实施，学生的体育意识、体育能力和体育精神得到了显著提升。学生的组织纪律性增强，课堂参与度提高，玩手机现象大大减少。根据学生评教系统反馈，体育部课程思政满意度达到90%以上，学生普遍认为课程思政对他们的思想道德和体育能力提升有显著帮助。</w:t>
      </w:r>
    </w:p>
    <w:p w14:paraId="0DAEF4ED">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23" w:name="_Toc15617"/>
      <w:bookmarkStart w:id="24" w:name="_Toc28464"/>
      <w:r>
        <w:rPr>
          <w:rFonts w:hint="eastAsia" w:ascii="仿宋" w:hAnsi="仿宋" w:eastAsia="仿宋" w:cs="仿宋"/>
          <w:b/>
          <w:bCs/>
          <w:color w:val="auto"/>
          <w:sz w:val="28"/>
          <w:szCs w:val="28"/>
          <w:lang w:val="en-US" w:eastAsia="zh-CN"/>
        </w:rPr>
        <w:t>1.2.3 思想政治等问题处置较好</w:t>
      </w:r>
      <w:bookmarkEnd w:id="23"/>
      <w:bookmarkEnd w:id="24"/>
    </w:p>
    <w:p w14:paraId="489826DA">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体育部高度重视学生和教师的思想政治和道德品质教育，对于出现的负面问题，体育部采取了一系列积极有效的处置措施。体育部建立了一套完善的预警和监测机制，通过日常教学观察、学生反馈和定期评估，及时发现师生在思想政治和道德品质方面的问题。一旦发现问题，体育部会迅速介入，采取个别谈话、心理辅导、专题教育等措施，引导师生正确认识和改正错误。</w:t>
      </w:r>
    </w:p>
    <w:p w14:paraId="484D708B">
      <w:pPr>
        <w:pageBreakBefore w:val="0"/>
        <w:kinsoku/>
        <w:wordWrap/>
        <w:overflowPunct/>
        <w:topLinePunct w:val="0"/>
        <w:autoSpaceDE w:val="0"/>
        <w:autoSpaceDN w:val="0"/>
        <w:bidi w:val="0"/>
        <w:adjustRightInd/>
        <w:snapToGrid/>
        <w:spacing w:line="500" w:lineRule="exact"/>
        <w:ind w:firstLine="562"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bCs/>
          <w:color w:val="auto"/>
          <w:kern w:val="0"/>
          <w:sz w:val="28"/>
          <w:szCs w:val="28"/>
          <w:u w:val="none"/>
          <w:lang w:val="en-US" w:eastAsia="zh-CN" w:bidi="zh-CN"/>
        </w:rPr>
        <w:t>具体举措与成效</w:t>
      </w:r>
      <w:r>
        <w:rPr>
          <w:rFonts w:hint="eastAsia" w:ascii="仿宋" w:hAnsi="仿宋" w:eastAsia="仿宋" w:cs="仿宋"/>
          <w:b w:val="0"/>
          <w:color w:val="auto"/>
          <w:kern w:val="0"/>
          <w:sz w:val="28"/>
          <w:szCs w:val="28"/>
          <w:u w:val="none"/>
          <w:lang w:val="en-US" w:eastAsia="zh-CN" w:bidi="zh-CN"/>
        </w:rPr>
        <w:t>：</w:t>
      </w:r>
    </w:p>
    <w:p w14:paraId="6C479973">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预警与监测机制：体育部建立了完善的预警和监测机制，通过日常教学观察、学生反馈和定期评估，及时发现师生在思想政治和道德品质方面的问题。近年来，体育部共开展学生思想政治状况调查8次，教师思想政治状况调查6次，及时发现并处理问题15起。</w:t>
      </w:r>
    </w:p>
    <w:p w14:paraId="714BE6D6">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问题处置与教育引导：对于发现的问题，体育部迅速介入，采取个别谈话、心理辅导、专题教育等措施，引导师生正确认识和改正错误。对于严重违纪行为，体育部严格按照学校规章制度进行处理，同时加强对师生的思想政治教育，通过举办讲座、研讨会等形式，提升师生的政治意识和道德素养。</w:t>
      </w:r>
    </w:p>
    <w:p w14:paraId="33C35E34">
      <w:pPr>
        <w:pageBreakBefore w:val="0"/>
        <w:kinsoku/>
        <w:wordWrap/>
        <w:overflowPunct/>
        <w:topLinePunct w:val="0"/>
        <w:autoSpaceDE w:val="0"/>
        <w:autoSpaceDN w:val="0"/>
        <w:bidi w:val="0"/>
        <w:adjustRightInd/>
        <w:snapToGrid/>
        <w:spacing w:line="500" w:lineRule="exact"/>
        <w:ind w:firstLine="562" w:firstLineChars="200"/>
        <w:textAlignment w:val="auto"/>
        <w:rPr>
          <w:rFonts w:hint="eastAsia" w:ascii="黑体" w:hAnsi="黑体" w:eastAsia="黑体" w:cs="黑体"/>
          <w:b/>
          <w:bCs/>
          <w:color w:val="auto"/>
          <w:kern w:val="0"/>
          <w:sz w:val="32"/>
          <w:szCs w:val="32"/>
          <w:lang w:val="en-US" w:eastAsia="zh-CN" w:bidi="zh-CN"/>
        </w:rPr>
      </w:pPr>
      <w:r>
        <w:rPr>
          <w:rFonts w:hint="eastAsia" w:ascii="仿宋" w:hAnsi="仿宋" w:eastAsia="仿宋" w:cs="仿宋"/>
          <w:b/>
          <w:bCs/>
          <w:color w:val="auto"/>
          <w:kern w:val="0"/>
          <w:sz w:val="28"/>
          <w:szCs w:val="28"/>
          <w:u w:val="none"/>
          <w:lang w:val="en-US" w:eastAsia="zh-CN" w:bidi="zh-CN"/>
        </w:rPr>
        <w:t>教育成效</w:t>
      </w:r>
      <w:r>
        <w:rPr>
          <w:rFonts w:hint="eastAsia" w:ascii="仿宋" w:hAnsi="仿宋" w:eastAsia="仿宋" w:cs="仿宋"/>
          <w:b w:val="0"/>
          <w:color w:val="auto"/>
          <w:kern w:val="0"/>
          <w:sz w:val="28"/>
          <w:szCs w:val="28"/>
          <w:u w:val="none"/>
          <w:lang w:val="en-US" w:eastAsia="zh-CN" w:bidi="zh-CN"/>
        </w:rPr>
        <w:t>：通过上述措施，体育部确保了教育环境的健康和积极。近年来，体育部未发生重大思想政治问题，师生的思想政治素质和道德品质显著提升。根据学校思想政治教育评估报告，体育部在思想政治教育方面的表现得到了高度评价，师生满意度达到92%。</w:t>
      </w:r>
    </w:p>
    <w:p w14:paraId="19012D5D">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eastAsia" w:ascii="黑体" w:hAnsi="黑体" w:eastAsia="黑体" w:cs="黑体"/>
          <w:b/>
          <w:bCs/>
          <w:color w:val="auto"/>
          <w:sz w:val="32"/>
          <w:szCs w:val="32"/>
          <w:lang w:val="en-US" w:eastAsia="zh-CN"/>
        </w:rPr>
      </w:pPr>
      <w:bookmarkStart w:id="25" w:name="_Toc24804"/>
      <w:r>
        <w:rPr>
          <w:rFonts w:hint="eastAsia" w:ascii="黑体" w:hAnsi="黑体" w:eastAsia="黑体" w:cs="黑体"/>
          <w:b/>
          <w:bCs/>
          <w:color w:val="auto"/>
          <w:sz w:val="32"/>
          <w:szCs w:val="32"/>
          <w:lang w:val="en-US" w:eastAsia="zh-CN"/>
        </w:rPr>
        <w:t>1.3</w:t>
      </w:r>
      <w:r>
        <w:rPr>
          <w:rFonts w:hint="eastAsia" w:ascii="黑体" w:hAnsi="黑体" w:cs="黑体"/>
          <w:b/>
          <w:bCs/>
          <w:color w:val="auto"/>
          <w:sz w:val="32"/>
          <w:szCs w:val="32"/>
          <w:lang w:val="en-US" w:eastAsia="zh-CN"/>
        </w:rPr>
        <w:t xml:space="preserve"> </w:t>
      </w:r>
      <w:r>
        <w:rPr>
          <w:rFonts w:hint="eastAsia" w:ascii="黑体" w:hAnsi="黑体" w:eastAsia="黑体" w:cs="黑体"/>
          <w:b/>
          <w:bCs/>
          <w:color w:val="auto"/>
          <w:sz w:val="32"/>
          <w:szCs w:val="32"/>
          <w:lang w:val="en-US" w:eastAsia="zh-CN"/>
        </w:rPr>
        <w:t>落实本科地位</w:t>
      </w:r>
      <w:bookmarkEnd w:id="25"/>
    </w:p>
    <w:p w14:paraId="234CA5B2">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26" w:name="_Toc2284"/>
      <w:bookmarkStart w:id="27" w:name="_Toc12842"/>
      <w:r>
        <w:rPr>
          <w:rFonts w:hint="eastAsia" w:ascii="仿宋" w:hAnsi="仿宋" w:eastAsia="仿宋" w:cs="仿宋"/>
          <w:b/>
          <w:bCs/>
          <w:color w:val="auto"/>
          <w:sz w:val="28"/>
          <w:szCs w:val="28"/>
          <w:lang w:val="en-US" w:eastAsia="zh-CN"/>
        </w:rPr>
        <w:t>1.3.1领导重视本科教学，坚持“以本为本”</w:t>
      </w:r>
      <w:bookmarkEnd w:id="26"/>
      <w:bookmarkEnd w:id="27"/>
    </w:p>
    <w:p w14:paraId="2F2E410B">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体育部在坚持党的全面领导、依法治教、依法办学、依法治校方面，展现出了明确的指导思想和坚定的行动力。体育部深入贯彻党的教育方针，紧紧围绕“为党育人，为国育才”的使命任务，全面深化教育教学改革，推动教育改革高质量发展。在体育部主任和副主任的领导下，体育部形成了以“以本为本”的教育理念，确保本科教学工作得到优先发展和重点支持。体育部通过定期召开党政办公会议与教学工作会议，明确、强化教研室主任的职责，及时研究解决教学中出现的新情况、新问题，以提高教学质量为重点建立健全各项管理规章制度，使之制度化、规范化、科学化。此外，体育部领导还积极参与学生生活和教学活动的各个方面，如走访学生运动队训练场所等，深入了解学生的生活状况和思想动态，帮助学生解决实际困难，加强与学生的交流和沟通。这种深入一线的工作方式，不仅增强了学生对学校教育的认同感，也提升了教学质量和管理效率。</w:t>
      </w:r>
    </w:p>
    <w:p w14:paraId="33CE2786">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28" w:name="_Toc31673"/>
      <w:bookmarkStart w:id="29" w:name="_Toc15046"/>
      <w:r>
        <w:rPr>
          <w:rFonts w:hint="eastAsia" w:ascii="仿宋" w:hAnsi="仿宋" w:eastAsia="仿宋" w:cs="仿宋"/>
          <w:b/>
          <w:bCs/>
          <w:color w:val="auto"/>
          <w:sz w:val="28"/>
          <w:szCs w:val="28"/>
          <w:lang w:val="en-US" w:eastAsia="zh-CN"/>
        </w:rPr>
        <w:t>1.3.2实现“四个回归”，推进学风、教风建设</w:t>
      </w:r>
      <w:bookmarkEnd w:id="28"/>
      <w:bookmarkEnd w:id="29"/>
    </w:p>
    <w:p w14:paraId="53A9AB2B">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体育部在实现“四个回归”、推进学风、教风建设以及倾心培养社会主义建设者和接班人等方面采取了一系列积极有效的措施。首先，体育部深入贯彻党的教育方针，坚持社会主义办学方向，落实立德树人根本任务。在推进“四个回归”方面，体育部通过加强体育教学和实践，引导学生求真学问、练真本领，强化学生的体育素养和健康意识。通过组织各类体育活动和竞赛，如校运会、校内啦啦操赛、足球校际邀请赛等，激发学生参与体育活动的热情，培养学生的团队精神和竞争意识，同时也锻炼了学生的领导力和组织能力。</w:t>
      </w:r>
    </w:p>
    <w:p w14:paraId="5EE5A7C2">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在学风建设方面，体育部注重培养学生的自主学习和自我管理能力。通过开展形式多样的体育活动，如篮球赛、足球赛、趣味运动会等，体育部鼓励学生在参与中学习、在体验中成长，从而形成积极向上的学习态度和良好的学习习惯。在教风建设方面，体育部教师以身作则，以严谨的教学态度和专业的教学技能，为学生树立良好的榜样。教师们积极参与教学研究和课程改革，不断提升教学质量，同时也注重与学生的沟通和交流，了解学生的需求和反馈，以更好地指导和帮助学生。最后，体育部在培养社会主义建设者和接班人方面，注重将体育教育与思想政治教育相结合。通过体育活动，培养学生的爱国主义情怀和社会责任感，使学生在锻炼身体的同时，也能够提升自己的思想政治素质，为成为合格的社会主义建设者和接班人打下坚实的基础。</w:t>
      </w:r>
    </w:p>
    <w:p w14:paraId="624ACA61">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30" w:name="_Toc846"/>
      <w:bookmarkStart w:id="31" w:name="_Toc19030"/>
      <w:r>
        <w:rPr>
          <w:rFonts w:hint="eastAsia" w:ascii="仿宋" w:hAnsi="仿宋" w:eastAsia="仿宋" w:cs="仿宋"/>
          <w:b/>
          <w:bCs/>
          <w:color w:val="auto"/>
          <w:sz w:val="28"/>
          <w:szCs w:val="28"/>
          <w:lang w:val="en-US" w:eastAsia="zh-CN"/>
        </w:rPr>
        <w:t>1.3.3建立健全条件保障的本科教学机制体制</w:t>
      </w:r>
      <w:bookmarkEnd w:id="30"/>
      <w:bookmarkEnd w:id="31"/>
    </w:p>
    <w:p w14:paraId="4540C723">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体育部始终将本科教学工作作为部门的中心任务，坚持“以本为本”的原则，通过建立健全教学经费、教学资源和教师精力投入等机制体制，确保本科教学工作的优先发展。在教学经费方面，体育部积极响应学校“以教学为中心”的发展战略，不断加大教学投入，更新教学设施，确保教学经费的充足和有效利用。2022年-2024年，每年用于体育竞赛等体育活动费近11万元，体育器材维持费用10万余元，2022年，</w:t>
      </w:r>
      <w:r>
        <w:rPr>
          <w:rFonts w:hint="eastAsia" w:ascii="仿宋" w:hAnsi="仿宋" w:eastAsia="仿宋" w:cs="仿宋"/>
          <w:b w:val="0"/>
          <w:color w:val="auto"/>
          <w:sz w:val="28"/>
          <w:szCs w:val="28"/>
          <w:u w:val="none"/>
          <w:lang w:val="en-US" w:eastAsia="zh-CN"/>
        </w:rPr>
        <w:t>利用中央财政专项</w:t>
      </w:r>
      <w:r>
        <w:rPr>
          <w:rFonts w:hint="eastAsia" w:ascii="仿宋" w:hAnsi="仿宋" w:eastAsia="仿宋" w:cs="仿宋"/>
          <w:b w:val="0"/>
          <w:color w:val="auto"/>
          <w:kern w:val="0"/>
          <w:sz w:val="28"/>
          <w:szCs w:val="28"/>
          <w:u w:val="none"/>
          <w:lang w:val="en-US" w:eastAsia="zh-CN" w:bidi="zh-CN"/>
        </w:rPr>
        <w:t>投入近300余万元，建设篮球、排球场风雨棚，优化教学资源配置，提</w:t>
      </w:r>
      <w:r>
        <w:rPr>
          <w:rFonts w:hint="eastAsia" w:ascii="仿宋" w:hAnsi="仿宋" w:eastAsia="仿宋" w:cs="仿宋"/>
          <w:b w:val="0"/>
          <w:color w:val="auto"/>
          <w:spacing w:val="-6"/>
          <w:kern w:val="0"/>
          <w:sz w:val="28"/>
          <w:szCs w:val="28"/>
          <w:u w:val="none"/>
          <w:lang w:val="en-US" w:eastAsia="zh-CN" w:bidi="zh-CN"/>
        </w:rPr>
        <w:t>升教学设施条件。这些经费的投入，为体育教学提供了坚实的物质基础。</w:t>
      </w:r>
    </w:p>
    <w:p w14:paraId="51B0B3FB">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在教学资源方面，体育部注重资源的整合和优化配置，通过学校变革的方式整合有效资源，为学生提供良好的体育学习环境。体育部现有教职员工</w:t>
      </w:r>
      <w:r>
        <w:rPr>
          <w:rFonts w:hint="eastAsia"/>
          <w:color w:val="auto"/>
        </w:rPr>
        <w:t>2</w:t>
      </w:r>
      <w:r>
        <w:rPr>
          <w:rFonts w:hint="eastAsia"/>
          <w:color w:val="auto"/>
          <w:lang w:val="en-US" w:eastAsia="zh-CN"/>
        </w:rPr>
        <w:t>1</w:t>
      </w:r>
      <w:r>
        <w:rPr>
          <w:rFonts w:hint="eastAsia"/>
          <w:color w:val="auto"/>
        </w:rPr>
        <w:t>名教职员工，其中教授2</w:t>
      </w:r>
      <w:r>
        <w:rPr>
          <w:rFonts w:hint="eastAsia"/>
          <w:color w:val="auto"/>
          <w:lang w:val="en-US" w:eastAsia="zh-CN"/>
        </w:rPr>
        <w:t>人</w:t>
      </w:r>
      <w:r>
        <w:rPr>
          <w:rFonts w:hint="eastAsia"/>
          <w:color w:val="auto"/>
        </w:rPr>
        <w:t>、副教授5</w:t>
      </w:r>
      <w:r>
        <w:rPr>
          <w:rFonts w:hint="eastAsia"/>
          <w:color w:val="auto"/>
          <w:lang w:val="en-US" w:eastAsia="zh-CN"/>
        </w:rPr>
        <w:t>人</w:t>
      </w:r>
      <w:r>
        <w:rPr>
          <w:rFonts w:hint="eastAsia"/>
          <w:color w:val="auto"/>
        </w:rPr>
        <w:t>，</w:t>
      </w:r>
      <w:r>
        <w:rPr>
          <w:rFonts w:hint="eastAsia"/>
          <w:color w:val="auto"/>
          <w:lang w:val="en-US" w:eastAsia="zh-CN"/>
        </w:rPr>
        <w:t>具</w:t>
      </w:r>
      <w:r>
        <w:rPr>
          <w:rFonts w:hint="eastAsia"/>
          <w:color w:val="auto"/>
        </w:rPr>
        <w:t>有硕士</w:t>
      </w:r>
      <w:r>
        <w:rPr>
          <w:rFonts w:hint="eastAsia"/>
          <w:color w:val="auto"/>
          <w:lang w:val="en-US" w:eastAsia="zh-CN"/>
        </w:rPr>
        <w:t>及以上</w:t>
      </w:r>
      <w:r>
        <w:rPr>
          <w:rFonts w:hint="eastAsia"/>
          <w:color w:val="auto"/>
        </w:rPr>
        <w:t>学位17人</w:t>
      </w:r>
      <w:r>
        <w:rPr>
          <w:rFonts w:hint="eastAsia"/>
          <w:color w:val="auto"/>
          <w:lang w:eastAsia="zh-CN"/>
        </w:rPr>
        <w:t>，</w:t>
      </w:r>
      <w:r>
        <w:rPr>
          <w:rFonts w:hint="eastAsia"/>
          <w:color w:val="auto"/>
          <w:lang w:val="en-US" w:eastAsia="zh-CN"/>
        </w:rPr>
        <w:t>博士3人</w:t>
      </w:r>
      <w:r>
        <w:rPr>
          <w:rFonts w:hint="eastAsia"/>
          <w:color w:val="auto"/>
        </w:rPr>
        <w:t>。</w:t>
      </w:r>
      <w:r>
        <w:rPr>
          <w:rFonts w:hint="eastAsia" w:ascii="仿宋" w:hAnsi="仿宋" w:eastAsia="仿宋" w:cs="仿宋"/>
          <w:b w:val="0"/>
          <w:color w:val="auto"/>
          <w:kern w:val="0"/>
          <w:sz w:val="28"/>
          <w:szCs w:val="28"/>
          <w:u w:val="none"/>
          <w:lang w:val="en-US" w:eastAsia="zh-CN" w:bidi="zh-CN"/>
        </w:rPr>
        <w:t>形成了一支结构合理、专业素质高的教师队伍。同时，体育部下设形体训练教研室和大学体育教研室，涵盖了田径、球类、民族传统体育等多个专业方向，为学生提供了丰富的课程选择和学习机会。在教师精力投入方面，体育部强化了教师的教学责任和激励机制，鼓励教师将更多的精力投入到本科教学中。通过实施教师教学工作承诺制，明确教师在教学工作中的责任和目标，同时，通过定期的教学检查和评估，确保教学质量的持续提升。此外，体育部还注重教师专业发展，通过组织教师参加各类培训和学术活动，提升教师的教学能力和科研水平，从而更好地服务于本科教学工作。</w:t>
      </w:r>
    </w:p>
    <w:p w14:paraId="6BE37A8D">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32" w:name="_Toc29267"/>
      <w:bookmarkStart w:id="33" w:name="_Toc25824"/>
      <w:r>
        <w:rPr>
          <w:rFonts w:hint="eastAsia" w:ascii="仿宋" w:hAnsi="仿宋" w:eastAsia="仿宋" w:cs="仿宋"/>
          <w:b/>
          <w:bCs/>
          <w:color w:val="auto"/>
          <w:sz w:val="28"/>
          <w:szCs w:val="28"/>
          <w:lang w:val="en-US" w:eastAsia="zh-CN"/>
        </w:rPr>
        <w:t>1.3.4加强管理人员与专任教师的考核</w:t>
      </w:r>
      <w:bookmarkEnd w:id="32"/>
      <w:bookmarkEnd w:id="33"/>
    </w:p>
    <w:p w14:paraId="7D956FE4">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为确保本科教学工作的高质量开展，体育部在加强管理人员服务教育教学工作情况与专任教师教学工作情况的年度考核方面，实施了一系列具体而有效的措施。通过明确职责分工、完善考核制度和加强数据支撑，体育部进一步提升了管理人员与专任教师的工作质量。</w:t>
      </w:r>
    </w:p>
    <w:p w14:paraId="17C8267A">
      <w:pPr>
        <w:pStyle w:val="12"/>
        <w:pageBreakBefore w:val="0"/>
        <w:kinsoku/>
        <w:wordWrap/>
        <w:overflowPunct/>
        <w:topLinePunct w:val="0"/>
        <w:autoSpaceDE w:val="0"/>
        <w:autoSpaceDN w:val="0"/>
        <w:bidi w:val="0"/>
        <w:adjustRightInd/>
        <w:snapToGrid/>
        <w:spacing w:line="500" w:lineRule="exact"/>
        <w:ind w:firstLine="562"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cs="仿宋"/>
          <w:b/>
          <w:bCs/>
          <w:color w:val="auto"/>
          <w:kern w:val="0"/>
          <w:sz w:val="28"/>
          <w:szCs w:val="28"/>
          <w:u w:val="none"/>
          <w:lang w:val="en-US" w:eastAsia="zh-CN" w:bidi="zh-CN"/>
        </w:rPr>
        <w:t>（1）</w:t>
      </w:r>
      <w:r>
        <w:rPr>
          <w:rFonts w:hint="eastAsia" w:ascii="仿宋" w:hAnsi="仿宋" w:eastAsia="仿宋" w:cs="仿宋"/>
          <w:b/>
          <w:bCs/>
          <w:color w:val="auto"/>
          <w:kern w:val="0"/>
          <w:sz w:val="28"/>
          <w:szCs w:val="28"/>
          <w:u w:val="none"/>
          <w:lang w:val="en-US" w:eastAsia="zh-CN" w:bidi="zh-CN"/>
        </w:rPr>
        <w:t>明确职责分工，完善岗位制度</w:t>
      </w:r>
    </w:p>
    <w:p w14:paraId="6D7057A9">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体育部制定了详细的岗位职责及工作制度，明确管理人员与专任教师的职责。管理人员在主管院长和分管领导的领导下，认真贯彻执行党的教育方针，统筹安排全院体育工作，制订体育工作计划和规章制度，确保教学计划的制定安排、项目设置与教材的选编以及体育教师的授课安排及日常教学管理工作的顺利进行。同时，管理人员还负责组织开展教研活动、深化体育教学改革、协助教务部门做好教学管理工作。</w:t>
      </w:r>
    </w:p>
    <w:p w14:paraId="211CE682">
      <w:pPr>
        <w:pStyle w:val="12"/>
        <w:pageBreakBefore w:val="0"/>
        <w:kinsoku/>
        <w:wordWrap/>
        <w:overflowPunct/>
        <w:topLinePunct w:val="0"/>
        <w:autoSpaceDE w:val="0"/>
        <w:autoSpaceDN w:val="0"/>
        <w:bidi w:val="0"/>
        <w:adjustRightInd/>
        <w:snapToGrid/>
        <w:spacing w:line="500" w:lineRule="exact"/>
        <w:ind w:firstLine="562" w:firstLineChars="200"/>
        <w:textAlignment w:val="auto"/>
        <w:rPr>
          <w:rFonts w:hint="eastAsia" w:ascii="仿宋" w:hAnsi="仿宋" w:cs="仿宋"/>
          <w:b/>
          <w:bCs/>
          <w:color w:val="auto"/>
          <w:kern w:val="0"/>
          <w:sz w:val="28"/>
          <w:szCs w:val="28"/>
          <w:u w:val="none"/>
          <w:lang w:val="en-US" w:eastAsia="zh-CN" w:bidi="zh-CN"/>
        </w:rPr>
      </w:pPr>
      <w:r>
        <w:rPr>
          <w:rFonts w:hint="eastAsia" w:ascii="仿宋" w:hAnsi="仿宋" w:cs="仿宋"/>
          <w:b/>
          <w:bCs/>
          <w:color w:val="auto"/>
          <w:kern w:val="0"/>
          <w:sz w:val="28"/>
          <w:szCs w:val="28"/>
          <w:u w:val="none"/>
          <w:lang w:val="en-US" w:eastAsia="zh-CN" w:bidi="zh-CN"/>
        </w:rPr>
        <w:t>（2）严格年度考核，强化数据支撑</w:t>
      </w:r>
    </w:p>
    <w:p w14:paraId="6FB17796">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体育部对专任教师的教学工作情况进行了严格的年度考核。考核内容包括教师的教学计划执行情况、教学效果、学生评价以及参与教学改革和科研活动的积极性。具体数据如下：</w:t>
      </w:r>
    </w:p>
    <w:p w14:paraId="165BF8F9">
      <w:pPr>
        <w:pStyle w:val="12"/>
        <w:pageBreakBefore w:val="0"/>
        <w:kinsoku/>
        <w:wordWrap/>
        <w:overflowPunct/>
        <w:topLinePunct w:val="0"/>
        <w:autoSpaceDE w:val="0"/>
        <w:autoSpaceDN w:val="0"/>
        <w:bidi w:val="0"/>
        <w:adjustRightInd/>
        <w:snapToGrid/>
        <w:spacing w:line="500" w:lineRule="exact"/>
        <w:ind w:firstLine="562"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bCs/>
          <w:color w:val="auto"/>
          <w:kern w:val="0"/>
          <w:sz w:val="28"/>
          <w:szCs w:val="28"/>
          <w:u w:val="none"/>
          <w:lang w:val="en-US" w:eastAsia="zh-CN" w:bidi="zh-CN"/>
        </w:rPr>
        <w:t>教学计划执行情况</w:t>
      </w:r>
      <w:r>
        <w:rPr>
          <w:rFonts w:hint="eastAsia" w:ascii="仿宋" w:hAnsi="仿宋" w:eastAsia="仿宋" w:cs="仿宋"/>
          <w:b w:val="0"/>
          <w:color w:val="auto"/>
          <w:kern w:val="0"/>
          <w:sz w:val="28"/>
          <w:szCs w:val="28"/>
          <w:u w:val="none"/>
          <w:lang w:val="en-US" w:eastAsia="zh-CN" w:bidi="zh-CN"/>
        </w:rPr>
        <w:t>：2022-2024年期间，教师教学计划完成率均达到95%以上，其中2024年达到98%。</w:t>
      </w:r>
    </w:p>
    <w:p w14:paraId="19422EBF">
      <w:pPr>
        <w:pStyle w:val="12"/>
        <w:pageBreakBefore w:val="0"/>
        <w:kinsoku/>
        <w:wordWrap/>
        <w:overflowPunct/>
        <w:topLinePunct w:val="0"/>
        <w:autoSpaceDE w:val="0"/>
        <w:autoSpaceDN w:val="0"/>
        <w:bidi w:val="0"/>
        <w:adjustRightInd/>
        <w:snapToGrid/>
        <w:spacing w:line="500" w:lineRule="exact"/>
        <w:ind w:firstLine="562"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bCs/>
          <w:color w:val="auto"/>
          <w:kern w:val="0"/>
          <w:sz w:val="28"/>
          <w:szCs w:val="28"/>
          <w:u w:val="none"/>
          <w:lang w:val="en-US" w:eastAsia="zh-CN" w:bidi="zh-CN"/>
        </w:rPr>
        <w:t>教学效果</w:t>
      </w:r>
      <w:r>
        <w:rPr>
          <w:rFonts w:hint="eastAsia" w:ascii="仿宋" w:hAnsi="仿宋" w:eastAsia="仿宋" w:cs="仿宋"/>
          <w:b w:val="0"/>
          <w:color w:val="auto"/>
          <w:kern w:val="0"/>
          <w:sz w:val="28"/>
          <w:szCs w:val="28"/>
          <w:u w:val="none"/>
          <w:lang w:val="en-US" w:eastAsia="zh-CN" w:bidi="zh-CN"/>
        </w:rPr>
        <w:t>：通过学生评教系统，教师教学满意度平均达到90%以上，2024年达到92%。</w:t>
      </w:r>
    </w:p>
    <w:p w14:paraId="5894C39D">
      <w:pPr>
        <w:pStyle w:val="12"/>
        <w:pageBreakBefore w:val="0"/>
        <w:kinsoku/>
        <w:wordWrap/>
        <w:overflowPunct/>
        <w:topLinePunct w:val="0"/>
        <w:autoSpaceDE w:val="0"/>
        <w:autoSpaceDN w:val="0"/>
        <w:bidi w:val="0"/>
        <w:adjustRightInd/>
        <w:snapToGrid/>
        <w:spacing w:line="500" w:lineRule="exact"/>
        <w:ind w:firstLine="562"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bCs/>
          <w:color w:val="auto"/>
          <w:kern w:val="0"/>
          <w:sz w:val="28"/>
          <w:szCs w:val="28"/>
          <w:u w:val="none"/>
          <w:lang w:val="en-US" w:eastAsia="zh-CN" w:bidi="zh-CN"/>
        </w:rPr>
        <w:t>学生评价</w:t>
      </w:r>
      <w:r>
        <w:rPr>
          <w:rFonts w:hint="eastAsia" w:ascii="仿宋" w:hAnsi="仿宋" w:eastAsia="仿宋" w:cs="仿宋"/>
          <w:b w:val="0"/>
          <w:color w:val="auto"/>
          <w:kern w:val="0"/>
          <w:sz w:val="28"/>
          <w:szCs w:val="28"/>
          <w:u w:val="none"/>
          <w:lang w:val="en-US" w:eastAsia="zh-CN" w:bidi="zh-CN"/>
        </w:rPr>
        <w:t>：学生对教师的综合评价得分在85分以上，优秀率（90分以上）逐年提升，2024年达到35%。</w:t>
      </w:r>
    </w:p>
    <w:p w14:paraId="0434C7E3">
      <w:pPr>
        <w:pStyle w:val="12"/>
        <w:pageBreakBefore w:val="0"/>
        <w:kinsoku/>
        <w:wordWrap/>
        <w:overflowPunct/>
        <w:topLinePunct w:val="0"/>
        <w:autoSpaceDE w:val="0"/>
        <w:autoSpaceDN w:val="0"/>
        <w:bidi w:val="0"/>
        <w:adjustRightInd/>
        <w:snapToGrid/>
        <w:spacing w:line="500" w:lineRule="exact"/>
        <w:ind w:firstLine="562"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bCs/>
          <w:color w:val="auto"/>
          <w:kern w:val="0"/>
          <w:sz w:val="28"/>
          <w:szCs w:val="28"/>
          <w:u w:val="none"/>
          <w:lang w:val="en-US" w:eastAsia="zh-CN" w:bidi="zh-CN"/>
        </w:rPr>
        <w:t>教学改革与科研活动</w:t>
      </w:r>
      <w:r>
        <w:rPr>
          <w:rFonts w:hint="eastAsia" w:ascii="仿宋" w:hAnsi="仿宋" w:eastAsia="仿宋" w:cs="仿宋"/>
          <w:b w:val="0"/>
          <w:color w:val="auto"/>
          <w:kern w:val="0"/>
          <w:sz w:val="28"/>
          <w:szCs w:val="28"/>
          <w:u w:val="none"/>
          <w:lang w:val="en-US" w:eastAsia="zh-CN" w:bidi="zh-CN"/>
        </w:rPr>
        <w:t>：2022-2024年期间，体育部教师共主持或参与省部级教改项目4项、校级教改项目6项，发表教研论文30余篇，其中核心期刊论文5篇。</w:t>
      </w:r>
    </w:p>
    <w:p w14:paraId="2C2B4735">
      <w:pPr>
        <w:pStyle w:val="12"/>
        <w:pageBreakBefore w:val="0"/>
        <w:kinsoku/>
        <w:wordWrap/>
        <w:overflowPunct/>
        <w:topLinePunct w:val="0"/>
        <w:autoSpaceDE w:val="0"/>
        <w:autoSpaceDN w:val="0"/>
        <w:bidi w:val="0"/>
        <w:adjustRightInd/>
        <w:snapToGrid/>
        <w:spacing w:line="500" w:lineRule="exact"/>
        <w:ind w:firstLine="562" w:firstLineChars="200"/>
        <w:textAlignment w:val="auto"/>
        <w:rPr>
          <w:rFonts w:hint="eastAsia" w:ascii="仿宋" w:hAnsi="仿宋" w:cs="仿宋"/>
          <w:b/>
          <w:bCs/>
          <w:color w:val="auto"/>
          <w:kern w:val="0"/>
          <w:sz w:val="28"/>
          <w:szCs w:val="28"/>
          <w:u w:val="none"/>
          <w:lang w:val="en-US" w:eastAsia="zh-CN" w:bidi="zh-CN"/>
        </w:rPr>
      </w:pPr>
      <w:r>
        <w:rPr>
          <w:rFonts w:hint="eastAsia" w:ascii="仿宋" w:hAnsi="仿宋" w:cs="仿宋"/>
          <w:b/>
          <w:bCs/>
          <w:color w:val="auto"/>
          <w:kern w:val="0"/>
          <w:sz w:val="28"/>
          <w:szCs w:val="28"/>
          <w:u w:val="none"/>
          <w:lang w:val="en-US" w:eastAsia="zh-CN" w:bidi="zh-CN"/>
        </w:rPr>
        <w:t>（3）激励与约束并重，提升教学质量</w:t>
      </w:r>
    </w:p>
    <w:p w14:paraId="6BB837E1">
      <w:pPr>
        <w:pStyle w:val="12"/>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教师的年度考核结果不仅反映了其个人的教学表现，还与教学奖励和职称晋升挂钩。通过激励与约束机制，体育部进一步提升了教师的工作积极性和教学质量。例如：</w:t>
      </w:r>
    </w:p>
    <w:p w14:paraId="485AF934">
      <w:pPr>
        <w:pStyle w:val="12"/>
        <w:pageBreakBefore w:val="0"/>
        <w:kinsoku/>
        <w:wordWrap/>
        <w:overflowPunct/>
        <w:topLinePunct w:val="0"/>
        <w:autoSpaceDE w:val="0"/>
        <w:autoSpaceDN w:val="0"/>
        <w:bidi w:val="0"/>
        <w:adjustRightInd/>
        <w:snapToGrid/>
        <w:spacing w:line="500" w:lineRule="exact"/>
        <w:ind w:firstLine="562"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cs="仿宋"/>
          <w:b/>
          <w:bCs/>
          <w:color w:val="auto"/>
          <w:kern w:val="0"/>
          <w:sz w:val="28"/>
          <w:szCs w:val="28"/>
          <w:u w:val="none"/>
          <w:lang w:val="en-US" w:eastAsia="zh-CN" w:bidi="zh-CN"/>
        </w:rPr>
        <w:t>教学奖励：</w:t>
      </w:r>
      <w:r>
        <w:rPr>
          <w:rFonts w:hint="eastAsia" w:ascii="仿宋" w:hAnsi="仿宋" w:eastAsia="仿宋" w:cs="仿宋"/>
          <w:b w:val="0"/>
          <w:color w:val="auto"/>
          <w:kern w:val="0"/>
          <w:sz w:val="28"/>
          <w:szCs w:val="28"/>
          <w:u w:val="none"/>
          <w:lang w:val="en-US" w:eastAsia="zh-CN" w:bidi="zh-CN"/>
        </w:rPr>
        <w:t>2022-2024年期间，体育部共评选出年度教学质量优秀奖10人次，其中2024年评选出3名优秀教师。</w:t>
      </w:r>
    </w:p>
    <w:p w14:paraId="3FAE267A">
      <w:pPr>
        <w:pStyle w:val="12"/>
        <w:pageBreakBefore w:val="0"/>
        <w:kinsoku/>
        <w:wordWrap/>
        <w:overflowPunct/>
        <w:topLinePunct w:val="0"/>
        <w:autoSpaceDE w:val="0"/>
        <w:autoSpaceDN w:val="0"/>
        <w:bidi w:val="0"/>
        <w:adjustRightInd/>
        <w:snapToGrid/>
        <w:spacing w:line="500" w:lineRule="exact"/>
        <w:ind w:firstLine="562"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cs="仿宋"/>
          <w:b/>
          <w:bCs/>
          <w:color w:val="auto"/>
          <w:kern w:val="0"/>
          <w:sz w:val="28"/>
          <w:szCs w:val="28"/>
          <w:u w:val="none"/>
          <w:lang w:val="en-US" w:eastAsia="zh-CN" w:bidi="zh-CN"/>
        </w:rPr>
        <w:t>职称晋升：</w:t>
      </w:r>
      <w:r>
        <w:rPr>
          <w:rFonts w:hint="eastAsia" w:ascii="仿宋" w:hAnsi="仿宋" w:eastAsia="仿宋" w:cs="仿宋"/>
          <w:b w:val="0"/>
          <w:color w:val="auto"/>
          <w:kern w:val="0"/>
          <w:sz w:val="28"/>
          <w:szCs w:val="28"/>
          <w:u w:val="none"/>
          <w:lang w:val="en-US" w:eastAsia="zh-CN" w:bidi="zh-CN"/>
        </w:rPr>
        <w:t>考核结果作为职称晋升的重要依据，2022-2024年期间，体育部共有4名教师晋升职称，其中1名晋升为副教授，3名晋升为讲师。</w:t>
      </w:r>
    </w:p>
    <w:p w14:paraId="32734CE2">
      <w:pPr>
        <w:pStyle w:val="12"/>
        <w:pageBreakBefore w:val="0"/>
        <w:kinsoku/>
        <w:wordWrap/>
        <w:overflowPunct/>
        <w:topLinePunct w:val="0"/>
        <w:autoSpaceDE w:val="0"/>
        <w:autoSpaceDN w:val="0"/>
        <w:bidi w:val="0"/>
        <w:adjustRightInd/>
        <w:snapToGrid/>
        <w:spacing w:line="500" w:lineRule="exact"/>
        <w:ind w:firstLine="562" w:firstLineChars="200"/>
        <w:textAlignment w:val="auto"/>
        <w:rPr>
          <w:rFonts w:hint="eastAsia" w:ascii="仿宋" w:hAnsi="仿宋" w:cs="仿宋"/>
          <w:b/>
          <w:bCs/>
          <w:color w:val="auto"/>
          <w:kern w:val="0"/>
          <w:sz w:val="28"/>
          <w:szCs w:val="28"/>
          <w:u w:val="none"/>
          <w:lang w:val="en-US" w:eastAsia="zh-CN" w:bidi="zh-CN"/>
        </w:rPr>
      </w:pPr>
      <w:r>
        <w:rPr>
          <w:rFonts w:hint="eastAsia" w:ascii="仿宋" w:hAnsi="仿宋" w:cs="仿宋"/>
          <w:b/>
          <w:bCs/>
          <w:color w:val="auto"/>
          <w:kern w:val="0"/>
          <w:sz w:val="28"/>
          <w:szCs w:val="28"/>
          <w:u w:val="none"/>
          <w:lang w:val="en-US" w:eastAsia="zh-CN" w:bidi="zh-CN"/>
        </w:rPr>
        <w:t>（4）、加强课程思政建设</w:t>
      </w:r>
    </w:p>
    <w:p w14:paraId="3B00006C">
      <w:pPr>
        <w:pStyle w:val="12"/>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为落实立德树人根本任务，体育部进一步加强了课程思政建设。通过将思政元素融入体育课程，体育部不仅提升了学生的体育技能，还培养了学生的社会责任感和国家荣誉感。例如：</w:t>
      </w:r>
    </w:p>
    <w:p w14:paraId="492106D5">
      <w:pPr>
        <w:pStyle w:val="12"/>
        <w:pageBreakBefore w:val="0"/>
        <w:kinsoku/>
        <w:wordWrap/>
        <w:overflowPunct/>
        <w:topLinePunct w:val="0"/>
        <w:autoSpaceDE w:val="0"/>
        <w:autoSpaceDN w:val="0"/>
        <w:bidi w:val="0"/>
        <w:adjustRightInd/>
        <w:snapToGrid/>
        <w:spacing w:line="500" w:lineRule="exact"/>
        <w:ind w:firstLine="562" w:firstLineChars="200"/>
        <w:textAlignment w:val="auto"/>
        <w:rPr>
          <w:rFonts w:hint="eastAsia" w:ascii="仿宋" w:hAnsi="仿宋" w:cs="仿宋"/>
          <w:b/>
          <w:bCs/>
          <w:color w:val="auto"/>
          <w:kern w:val="0"/>
          <w:sz w:val="28"/>
          <w:szCs w:val="28"/>
          <w:u w:val="none"/>
          <w:lang w:val="en-US" w:eastAsia="zh-CN" w:bidi="zh-CN"/>
        </w:rPr>
      </w:pPr>
      <w:r>
        <w:rPr>
          <w:rFonts w:hint="eastAsia" w:ascii="仿宋" w:hAnsi="仿宋" w:cs="仿宋"/>
          <w:b/>
          <w:bCs/>
          <w:color w:val="auto"/>
          <w:kern w:val="0"/>
          <w:sz w:val="28"/>
          <w:szCs w:val="28"/>
          <w:u w:val="none"/>
          <w:lang w:val="en-US" w:eastAsia="zh-CN" w:bidi="zh-CN"/>
        </w:rPr>
        <w:t>课程思政项目：</w:t>
      </w:r>
      <w:r>
        <w:rPr>
          <w:rFonts w:hint="eastAsia" w:ascii="仿宋" w:hAnsi="仿宋" w:eastAsia="仿宋" w:cs="仿宋"/>
          <w:b w:val="0"/>
          <w:color w:val="auto"/>
          <w:kern w:val="0"/>
          <w:sz w:val="28"/>
          <w:szCs w:val="28"/>
          <w:u w:val="none"/>
          <w:lang w:val="en-US" w:eastAsia="zh-CN" w:bidi="zh-CN"/>
        </w:rPr>
        <w:t>2022-2024年期间，体育部共立项校级课程思政项目3项，其中《大学体育》课程思政项目在2024年顺利结项。</w:t>
      </w:r>
    </w:p>
    <w:p w14:paraId="572EF0FB">
      <w:pPr>
        <w:pStyle w:val="12"/>
        <w:pageBreakBefore w:val="0"/>
        <w:kinsoku/>
        <w:wordWrap/>
        <w:overflowPunct/>
        <w:topLinePunct w:val="0"/>
        <w:autoSpaceDE w:val="0"/>
        <w:autoSpaceDN w:val="0"/>
        <w:bidi w:val="0"/>
        <w:adjustRightInd/>
        <w:snapToGrid/>
        <w:spacing w:line="500" w:lineRule="exact"/>
        <w:ind w:firstLine="562" w:firstLineChars="200"/>
        <w:textAlignment w:val="auto"/>
        <w:rPr>
          <w:rFonts w:hint="eastAsia" w:ascii="Times New Roman" w:hAnsi="Times New Roman" w:eastAsia="宋体" w:cs="Times New Roman"/>
          <w:b/>
          <w:color w:val="auto"/>
          <w:kern w:val="0"/>
          <w:sz w:val="28"/>
          <w:szCs w:val="28"/>
          <w:lang w:val="en-US" w:eastAsia="zh-CN" w:bidi="zh-CN"/>
        </w:rPr>
      </w:pPr>
      <w:r>
        <w:rPr>
          <w:rFonts w:hint="eastAsia" w:ascii="仿宋" w:hAnsi="仿宋" w:cs="仿宋"/>
          <w:b/>
          <w:bCs/>
          <w:color w:val="auto"/>
          <w:kern w:val="0"/>
          <w:sz w:val="28"/>
          <w:szCs w:val="28"/>
          <w:u w:val="none"/>
          <w:lang w:val="en-US" w:eastAsia="zh-CN" w:bidi="zh-CN"/>
        </w:rPr>
        <w:t>思政教学成果：</w:t>
      </w:r>
      <w:r>
        <w:rPr>
          <w:rFonts w:hint="eastAsia" w:ascii="仿宋" w:hAnsi="仿宋" w:eastAsia="仿宋" w:cs="仿宋"/>
          <w:b w:val="0"/>
          <w:color w:val="auto"/>
          <w:kern w:val="0"/>
          <w:sz w:val="28"/>
          <w:szCs w:val="28"/>
          <w:u w:val="none"/>
          <w:lang w:val="en-US" w:eastAsia="zh-CN" w:bidi="zh-CN"/>
        </w:rPr>
        <w:t>教师在课程思政教学比赛中取得显著成绩，2022年廖虎武老师获得湖南省教育厅主办的《动感啦啦操》课程思政比赛一等奖，2023年段佳丽老师获得校级课程思政比赛二等奖。</w:t>
      </w:r>
    </w:p>
    <w:p w14:paraId="68ABE745">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eastAsia" w:ascii="黑体" w:hAnsi="黑体" w:eastAsia="黑体" w:cs="黑体"/>
          <w:b/>
          <w:bCs/>
          <w:color w:val="auto"/>
          <w:sz w:val="32"/>
          <w:szCs w:val="32"/>
          <w:lang w:val="en-US" w:eastAsia="zh-CN"/>
        </w:rPr>
      </w:pPr>
      <w:bookmarkStart w:id="34" w:name="_Toc15826"/>
      <w:r>
        <w:rPr>
          <w:rFonts w:hint="eastAsia" w:ascii="黑体" w:hAnsi="黑体" w:eastAsia="黑体" w:cs="黑体"/>
          <w:b/>
          <w:bCs/>
          <w:color w:val="auto"/>
          <w:sz w:val="32"/>
          <w:szCs w:val="32"/>
          <w:lang w:val="en-US" w:eastAsia="zh-CN"/>
        </w:rPr>
        <w:t>1.4</w:t>
      </w:r>
      <w:r>
        <w:rPr>
          <w:rFonts w:hint="eastAsia" w:ascii="黑体" w:hAnsi="黑体" w:cs="黑体"/>
          <w:b/>
          <w:bCs/>
          <w:color w:val="auto"/>
          <w:sz w:val="32"/>
          <w:szCs w:val="32"/>
          <w:lang w:val="en-US" w:eastAsia="zh-CN"/>
        </w:rPr>
        <w:t xml:space="preserve"> </w:t>
      </w:r>
      <w:r>
        <w:rPr>
          <w:rFonts w:hint="eastAsia" w:ascii="黑体" w:hAnsi="黑体" w:eastAsia="黑体" w:cs="黑体"/>
          <w:b/>
          <w:bCs/>
          <w:color w:val="auto"/>
          <w:sz w:val="32"/>
          <w:szCs w:val="32"/>
          <w:lang w:val="en-US" w:eastAsia="zh-CN"/>
        </w:rPr>
        <w:t>存在的主要问题、原因分析及下一步整改举措</w:t>
      </w:r>
      <w:bookmarkEnd w:id="34"/>
    </w:p>
    <w:p w14:paraId="0EB91D5D">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35" w:name="_Toc26724"/>
      <w:bookmarkStart w:id="36" w:name="_Toc21537"/>
      <w:r>
        <w:rPr>
          <w:rFonts w:hint="eastAsia" w:ascii="仿宋" w:hAnsi="仿宋" w:eastAsia="仿宋" w:cs="仿宋"/>
          <w:b/>
          <w:bCs/>
          <w:color w:val="auto"/>
          <w:sz w:val="28"/>
          <w:szCs w:val="28"/>
          <w:lang w:val="en-US" w:eastAsia="zh-CN"/>
        </w:rPr>
        <w:t>1.4.1存在的问题与原因分析</w:t>
      </w:r>
      <w:bookmarkEnd w:id="35"/>
      <w:bookmarkEnd w:id="36"/>
    </w:p>
    <w:p w14:paraId="6EDD33A0">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第一是在坚持党的全面领导方面，体育部虽已建立相关制度，但在具体执行中仍存在力度不够、覆盖面不广的问题。原因在于部分教职员工对于党的领导在体育教学中的重要性认识不足，缺乏深入的理论学习和实践应用。同时仍需进一步强化立德树人的教育理念，特别是在体育教学中融入思想政治教育的内容和方法有待加强。</w:t>
      </w:r>
    </w:p>
    <w:p w14:paraId="066D6DF8">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第二是教学资源和经费投入方面，体育部虽有一定的保障机制，但与教学需求相比仍显不足，特别是在更新教学设施和提高教学质量方面需要更多的支持和投入。课程思政建设方面，体育部虽已开展相关工作，但课程思政的深度和广度仍需拓展，特别是在体育课程中如何更有效地融入思政元素需要进一步探索和实践。</w:t>
      </w:r>
    </w:p>
    <w:p w14:paraId="09965EC9">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37" w:name="_Toc7491"/>
      <w:bookmarkStart w:id="38" w:name="_Toc21534"/>
      <w:r>
        <w:rPr>
          <w:rFonts w:hint="eastAsia" w:ascii="仿宋" w:hAnsi="仿宋" w:eastAsia="仿宋" w:cs="仿宋"/>
          <w:b/>
          <w:bCs/>
          <w:color w:val="auto"/>
          <w:sz w:val="28"/>
          <w:szCs w:val="28"/>
          <w:lang w:val="en-US" w:eastAsia="zh-CN"/>
        </w:rPr>
        <w:t>1.4.2 整改措施</w:t>
      </w:r>
      <w:bookmarkEnd w:id="37"/>
      <w:bookmarkEnd w:id="38"/>
    </w:p>
    <w:p w14:paraId="5876ABF9">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第一是加强党的全面领导，通过定期组织党员学习、主题党日活动，提高党员教师的政治素养和业务能力，确保党的领导在体育教学中得到全面贯彻。强化社会主义办学方向，通过加强体育教学中的思想政治教育，培养学生的社会责任感和国家荣誉感，落实立德树人根本任务。</w:t>
      </w:r>
    </w:p>
    <w:p w14:paraId="30321DBE">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第二是优化教学资源和经费投入，通过争取更多的教学经费和资源，更新教学设施，提高教学质量，确保教学需求得到满足。深化课程思政建设，通过加强教师培训和课程设计，使体育课程更好地融入思政元素，提升学生的思想政治素质。</w:t>
      </w:r>
    </w:p>
    <w:p w14:paraId="7969332E">
      <w:pPr>
        <w:keepNext w:val="0"/>
        <w:keepLines w:val="0"/>
        <w:pageBreakBefore w:val="0"/>
        <w:widowControl/>
        <w:kinsoku/>
        <w:wordWrap/>
        <w:overflowPunct/>
        <w:topLinePunct w:val="0"/>
        <w:autoSpaceDE w:val="0"/>
        <w:autoSpaceDN w:val="0"/>
        <w:bidi w:val="0"/>
        <w:adjustRightInd/>
        <w:snapToGrid/>
        <w:spacing w:line="500" w:lineRule="exact"/>
        <w:ind w:left="0" w:leftChars="0" w:firstLine="0" w:firstLineChars="0"/>
        <w:jc w:val="left"/>
        <w:textAlignment w:val="auto"/>
        <w:rPr>
          <w:rFonts w:hint="eastAsia" w:ascii="黑体" w:hAnsi="黑体" w:eastAsia="黑体" w:cs="黑体"/>
          <w:b/>
          <w:bCs/>
          <w:color w:val="auto"/>
          <w:kern w:val="0"/>
          <w:sz w:val="32"/>
          <w:szCs w:val="32"/>
          <w:lang w:val="en-US" w:eastAsia="zh-CN" w:bidi="zh-CN"/>
        </w:rPr>
      </w:pPr>
    </w:p>
    <w:p w14:paraId="2D15516E">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default" w:ascii="黑体" w:hAnsi="黑体" w:eastAsia="黑体" w:cs="黑体"/>
          <w:b/>
          <w:bCs/>
          <w:color w:val="auto"/>
          <w:sz w:val="32"/>
          <w:szCs w:val="32"/>
          <w:lang w:val="en-US" w:eastAsia="zh-CN"/>
        </w:rPr>
      </w:pPr>
      <w:bookmarkStart w:id="39" w:name="_Toc31326"/>
      <w:r>
        <w:rPr>
          <w:rFonts w:hint="eastAsia" w:ascii="黑体" w:hAnsi="黑体" w:eastAsia="黑体" w:cs="黑体"/>
          <w:b/>
          <w:bCs/>
          <w:color w:val="auto"/>
          <w:sz w:val="32"/>
          <w:szCs w:val="32"/>
          <w:lang w:val="en-US" w:eastAsia="zh-CN"/>
        </w:rPr>
        <w:t>2.培养过程</w:t>
      </w:r>
      <w:bookmarkEnd w:id="39"/>
    </w:p>
    <w:p w14:paraId="74AC2FC1">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eastAsia" w:ascii="黑体" w:hAnsi="黑体" w:eastAsia="黑体" w:cs="黑体"/>
          <w:b/>
          <w:bCs/>
          <w:color w:val="auto"/>
          <w:sz w:val="32"/>
          <w:szCs w:val="32"/>
          <w:lang w:val="zh-CN" w:eastAsia="zh-CN"/>
        </w:rPr>
      </w:pPr>
      <w:bookmarkStart w:id="40" w:name="_Toc25465"/>
      <w:r>
        <w:rPr>
          <w:rFonts w:hint="eastAsia" w:ascii="黑体" w:hAnsi="黑体" w:eastAsia="黑体" w:cs="黑体"/>
          <w:b/>
          <w:bCs/>
          <w:color w:val="auto"/>
          <w:sz w:val="32"/>
          <w:szCs w:val="32"/>
          <w:lang w:val="zh-CN" w:eastAsia="zh-CN"/>
        </w:rPr>
        <w:t>2.</w:t>
      </w:r>
      <w:r>
        <w:rPr>
          <w:rFonts w:hint="eastAsia" w:ascii="黑体" w:hAnsi="黑体" w:eastAsia="黑体" w:cs="黑体"/>
          <w:b/>
          <w:bCs/>
          <w:color w:val="auto"/>
          <w:sz w:val="32"/>
          <w:szCs w:val="32"/>
          <w:lang w:val="en-US" w:eastAsia="zh-CN"/>
        </w:rPr>
        <w:t>4</w:t>
      </w:r>
      <w:r>
        <w:rPr>
          <w:rFonts w:hint="eastAsia" w:ascii="黑体" w:hAnsi="黑体" w:cs="黑体"/>
          <w:b/>
          <w:bCs/>
          <w:color w:val="auto"/>
          <w:sz w:val="32"/>
          <w:szCs w:val="32"/>
          <w:lang w:val="en-US" w:eastAsia="zh-CN"/>
        </w:rPr>
        <w:t xml:space="preserve"> </w:t>
      </w:r>
      <w:r>
        <w:rPr>
          <w:rFonts w:hint="eastAsia" w:ascii="黑体" w:hAnsi="黑体" w:eastAsia="黑体" w:cs="黑体"/>
          <w:b/>
          <w:bCs/>
          <w:color w:val="auto"/>
          <w:sz w:val="32"/>
          <w:szCs w:val="32"/>
          <w:lang w:val="zh-CN" w:eastAsia="zh-CN"/>
        </w:rPr>
        <w:t>卓越培养</w:t>
      </w:r>
      <w:bookmarkEnd w:id="40"/>
    </w:p>
    <w:p w14:paraId="5BB9D409">
      <w:pPr>
        <w:pStyle w:val="4"/>
        <w:keepNext w:val="0"/>
        <w:keepLines w:val="0"/>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41" w:name="_Toc26904"/>
      <w:bookmarkStart w:id="42" w:name="_Toc21597"/>
      <w:r>
        <w:rPr>
          <w:rFonts w:hint="eastAsia" w:ascii="仿宋" w:hAnsi="仿宋" w:eastAsia="仿宋" w:cs="仿宋"/>
          <w:b/>
          <w:bCs/>
          <w:color w:val="auto"/>
          <w:sz w:val="28"/>
          <w:szCs w:val="28"/>
          <w:lang w:val="en-US" w:eastAsia="zh-CN"/>
        </w:rPr>
        <w:t>2.4.1产学研融合情况</w:t>
      </w:r>
      <w:bookmarkEnd w:id="41"/>
      <w:bookmarkEnd w:id="42"/>
    </w:p>
    <w:p w14:paraId="0F0428E7">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color w:val="auto"/>
        </w:rPr>
      </w:pPr>
      <w:r>
        <w:rPr>
          <w:rFonts w:hint="eastAsia"/>
          <w:color w:val="auto"/>
        </w:rPr>
        <w:t>积极推进产学研融合，与企业深度合作，如与中国足球基金会合作举办活动，与青华乒乓球俱乐部签署协议。李雨樽老师指导学生在第十四届全国大学生电子商务三创赛中获一等奖。推行体育选项课，学生依兴趣选项目，参与度高，提升了专项体育能力与综合素质。</w:t>
      </w:r>
    </w:p>
    <w:p w14:paraId="55FFB302">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43" w:name="_Toc19661"/>
      <w:bookmarkStart w:id="44" w:name="_Toc3804"/>
      <w:r>
        <w:rPr>
          <w:rFonts w:hint="eastAsia" w:ascii="仿宋" w:hAnsi="仿宋" w:eastAsia="仿宋" w:cs="仿宋"/>
          <w:b/>
          <w:bCs/>
          <w:color w:val="auto"/>
          <w:sz w:val="28"/>
          <w:szCs w:val="28"/>
          <w:lang w:val="en-US" w:eastAsia="zh-CN"/>
        </w:rPr>
        <w:t>2.4.2积极优化课程体系整体设计</w:t>
      </w:r>
      <w:bookmarkEnd w:id="43"/>
      <w:bookmarkEnd w:id="44"/>
    </w:p>
    <w:p w14:paraId="095C80BB">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color w:val="auto"/>
        </w:rPr>
      </w:pPr>
      <w:r>
        <w:rPr>
          <w:rFonts w:hint="eastAsia"/>
          <w:color w:val="auto"/>
        </w:rPr>
        <w:t>秉持“以生为本、健康第一”理念，融合“课程思政”元素，创新采用“体育必修课+体育选项课+体育选修课+体质测试”模式。大一按性别与项目特色分班教学，大三、大四选项课分初、中级班，每年进行体质健康测试。体育通识必修课共128学时8学分，注重基础技能与习惯养成，含理论知识与专项技能教学，设自主学习课时。通过课程体系优化，推动学生主动学习，构建课内外一体化教学，促进教学与训练、竞赛结合，增强学生体育意识与身体素质，培育终身体育观念，选拔优秀学生参赛，推动校园体育文化多元发展。</w:t>
      </w:r>
    </w:p>
    <w:p w14:paraId="6A0E6B00">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45" w:name="_Toc19804"/>
      <w:bookmarkStart w:id="46" w:name="_Toc17936"/>
      <w:r>
        <w:rPr>
          <w:rFonts w:hint="eastAsia" w:ascii="仿宋" w:hAnsi="仿宋" w:eastAsia="仿宋" w:cs="仿宋"/>
          <w:b/>
          <w:bCs/>
          <w:color w:val="auto"/>
          <w:sz w:val="28"/>
          <w:szCs w:val="28"/>
          <w:lang w:val="en-US" w:eastAsia="zh-CN"/>
        </w:rPr>
        <w:t>2.4.3教研教改</w:t>
      </w:r>
      <w:bookmarkEnd w:id="45"/>
      <w:bookmarkEnd w:id="46"/>
    </w:p>
    <w:p w14:paraId="2BF64CE9">
      <w:pPr>
        <w:keepNext w:val="0"/>
        <w:keepLines w:val="0"/>
        <w:pageBreakBefore w:val="0"/>
        <w:widowControl/>
        <w:suppressLineNumbers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黑体" w:hAnsi="黑体" w:eastAsia="黑体" w:cs="黑体"/>
          <w:b/>
          <w:bCs/>
          <w:color w:val="auto"/>
          <w:kern w:val="0"/>
          <w:sz w:val="32"/>
          <w:szCs w:val="32"/>
          <w:lang w:val="zh-CN" w:eastAsia="zh-CN" w:bidi="zh-CN"/>
        </w:rPr>
      </w:pPr>
      <w:r>
        <w:rPr>
          <w:rFonts w:hint="eastAsia" w:ascii="Times New Roman" w:hAnsi="Times New Roman" w:eastAsia="仿宋" w:cs="Times New Roman"/>
          <w:color w:val="auto"/>
          <w:sz w:val="28"/>
          <w:szCs w:val="28"/>
          <w:lang w:eastAsia="zh-CN"/>
        </w:rPr>
        <w:t>在新工科、新文科建设背景下，体育部积极探索体育与其他学科的交叉融合。围绕“培育高水平教学成果”开展教研教改项目建设，如</w:t>
      </w:r>
      <w:r>
        <w:rPr>
          <w:rFonts w:hint="eastAsia" w:ascii="仿宋" w:hAnsi="仿宋" w:eastAsia="仿宋" w:cs="仿宋"/>
          <w:color w:val="auto"/>
          <w:sz w:val="28"/>
          <w:szCs w:val="28"/>
          <w:lang w:val="en-US" w:eastAsia="zh-CN"/>
        </w:rPr>
        <w:t>近两年共有4项教育厅高校教学改革项目、2项校级改革项目获批。学院对于教研教改有领导，建立了教研教改项目评审推荐的制度与办法。同时也从绩效考核方案中对教研教改予以激励。教师的教学研究成果用之于教学，获得了较好的成果产出。王庆云、段佳丽老师获得了首届中国女子高等院校联盟教学成果优秀奖；王庆云副教授的全面人才培养视域下学校高水平运动队项目文化建设研究在第十三届中国体育科学大会专题报告中获一等奖的佳绩。</w:t>
      </w:r>
    </w:p>
    <w:p w14:paraId="52246505">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eastAsia" w:ascii="黑体" w:hAnsi="黑体" w:eastAsia="黑体" w:cs="黑体"/>
          <w:b/>
          <w:bCs/>
          <w:color w:val="auto"/>
          <w:sz w:val="32"/>
          <w:szCs w:val="32"/>
          <w:lang w:val="zh-CN" w:eastAsia="zh-CN"/>
        </w:rPr>
      </w:pPr>
      <w:bookmarkStart w:id="47" w:name="_Toc18279"/>
      <w:r>
        <w:rPr>
          <w:rFonts w:hint="eastAsia" w:ascii="黑体" w:hAnsi="黑体" w:eastAsia="黑体" w:cs="黑体"/>
          <w:b/>
          <w:bCs/>
          <w:color w:val="auto"/>
          <w:sz w:val="32"/>
          <w:szCs w:val="32"/>
          <w:lang w:val="zh-CN" w:eastAsia="zh-CN"/>
        </w:rPr>
        <w:t>2.</w:t>
      </w:r>
      <w:r>
        <w:rPr>
          <w:rFonts w:hint="eastAsia" w:ascii="黑体" w:hAnsi="黑体" w:eastAsia="黑体" w:cs="黑体"/>
          <w:b/>
          <w:bCs/>
          <w:color w:val="auto"/>
          <w:sz w:val="32"/>
          <w:szCs w:val="32"/>
          <w:lang w:val="en-US" w:eastAsia="zh-CN"/>
        </w:rPr>
        <w:t>5</w:t>
      </w:r>
      <w:r>
        <w:rPr>
          <w:rFonts w:hint="eastAsia" w:ascii="黑体" w:hAnsi="黑体" w:eastAsia="黑体" w:cs="黑体"/>
          <w:b/>
          <w:bCs/>
          <w:color w:val="auto"/>
          <w:sz w:val="32"/>
          <w:szCs w:val="32"/>
          <w:lang w:val="zh-CN" w:eastAsia="zh-CN"/>
        </w:rPr>
        <w:t xml:space="preserve"> 创新创业教育</w:t>
      </w:r>
      <w:bookmarkEnd w:id="47"/>
    </w:p>
    <w:p w14:paraId="130AEF47">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48" w:name="_Toc14023"/>
      <w:bookmarkStart w:id="49" w:name="_Toc10710"/>
      <w:r>
        <w:rPr>
          <w:rFonts w:hint="eastAsia" w:ascii="仿宋" w:hAnsi="仿宋" w:eastAsia="仿宋" w:cs="仿宋"/>
          <w:b/>
          <w:bCs/>
          <w:color w:val="auto"/>
          <w:sz w:val="28"/>
          <w:szCs w:val="28"/>
          <w:lang w:val="en-US" w:eastAsia="zh-CN"/>
        </w:rPr>
        <w:t>2.5.1</w:t>
      </w:r>
      <w:r>
        <w:rPr>
          <w:rFonts w:hint="eastAsia" w:ascii="仿宋" w:hAnsi="仿宋" w:eastAsia="仿宋" w:cs="仿宋"/>
          <w:b/>
          <w:bCs/>
          <w:color w:val="auto"/>
          <w:sz w:val="28"/>
          <w:szCs w:val="28"/>
          <w:lang w:val="zh-CN" w:eastAsia="zh-CN"/>
        </w:rPr>
        <w:t>教育融入与实践推动</w:t>
      </w:r>
      <w:bookmarkEnd w:id="48"/>
      <w:bookmarkEnd w:id="49"/>
    </w:p>
    <w:p w14:paraId="468B037F">
      <w:pPr>
        <w:pageBreakBefore w:val="0"/>
        <w:kinsoku/>
        <w:wordWrap/>
        <w:overflowPunct/>
        <w:topLinePunct w:val="0"/>
        <w:autoSpaceDE w:val="0"/>
        <w:autoSpaceDN w:val="0"/>
        <w:bidi w:val="0"/>
        <w:adjustRightInd/>
        <w:snapToGrid/>
        <w:spacing w:line="500" w:lineRule="exact"/>
        <w:ind w:firstLine="560" w:firstLineChars="200"/>
        <w:textAlignment w:val="auto"/>
        <w:rPr>
          <w:rFonts w:hint="eastAsia"/>
          <w:color w:val="auto"/>
        </w:rPr>
      </w:pPr>
      <w:r>
        <w:rPr>
          <w:rFonts w:hint="eastAsia"/>
          <w:color w:val="auto"/>
        </w:rPr>
        <w:t>将创新创业教育融入体育人才培养方案，贯穿教学全程，因材施教，为有创业意向学生提供一对一咨询服务。积极营造创新创业氛围，组织学生参加比赛、开展实践活动，李雨樽老师指导学生在第十四届全国大学生电子商务“创新、创意及创业”挑战赛中获一等奖，本人获评优秀指导老师。</w:t>
      </w:r>
    </w:p>
    <w:p w14:paraId="31B15A0C">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zh-CN" w:eastAsia="zh-CN"/>
        </w:rPr>
      </w:pPr>
      <w:bookmarkStart w:id="50" w:name="_Toc32070"/>
      <w:bookmarkStart w:id="51" w:name="_Toc16167"/>
      <w:r>
        <w:rPr>
          <w:rFonts w:hint="eastAsia" w:ascii="仿宋" w:hAnsi="仿宋" w:eastAsia="仿宋" w:cs="仿宋"/>
          <w:b/>
          <w:bCs/>
          <w:color w:val="auto"/>
          <w:sz w:val="28"/>
          <w:szCs w:val="28"/>
          <w:lang w:val="en-US" w:eastAsia="zh-CN"/>
        </w:rPr>
        <w:t>2.5.2</w:t>
      </w:r>
      <w:r>
        <w:rPr>
          <w:rFonts w:hint="eastAsia" w:ascii="仿宋" w:hAnsi="仿宋" w:eastAsia="仿宋" w:cs="仿宋"/>
          <w:b/>
          <w:bCs/>
          <w:color w:val="auto"/>
          <w:sz w:val="28"/>
          <w:szCs w:val="28"/>
          <w:lang w:val="zh-CN" w:eastAsia="zh-CN"/>
        </w:rPr>
        <w:t>省级学科竞赛</w:t>
      </w:r>
      <w:bookmarkEnd w:id="50"/>
      <w:bookmarkEnd w:id="51"/>
    </w:p>
    <w:p w14:paraId="74C4F28A">
      <w:pPr>
        <w:keepNext w:val="0"/>
        <w:keepLines w:val="0"/>
        <w:pageBreakBefore w:val="0"/>
        <w:widowControl/>
        <w:suppressLineNumbers w:val="0"/>
        <w:kinsoku/>
        <w:wordWrap/>
        <w:overflowPunct/>
        <w:topLinePunct w:val="0"/>
        <w:autoSpaceDE w:val="0"/>
        <w:autoSpaceDN w:val="0"/>
        <w:bidi w:val="0"/>
        <w:adjustRightInd/>
        <w:snapToGrid/>
        <w:spacing w:line="500" w:lineRule="exact"/>
        <w:ind w:firstLine="528" w:firstLineChars="200"/>
        <w:jc w:val="left"/>
        <w:textAlignment w:val="auto"/>
        <w:rPr>
          <w:rFonts w:hint="eastAsia" w:ascii="Times New Roman" w:hAnsi="Times New Roman" w:eastAsia="仿宋" w:cs="Times New Roman"/>
          <w:color w:val="auto"/>
          <w:spacing w:val="-8"/>
          <w:sz w:val="28"/>
          <w:szCs w:val="28"/>
          <w:lang w:val="zh-CN" w:eastAsia="zh-CN" w:bidi="zh-CN"/>
        </w:rPr>
      </w:pPr>
      <w:r>
        <w:rPr>
          <w:rFonts w:hint="eastAsia" w:ascii="Times New Roman" w:hAnsi="Times New Roman" w:eastAsia="仿宋" w:cs="Times New Roman"/>
          <w:color w:val="auto"/>
          <w:spacing w:val="-8"/>
          <w:sz w:val="28"/>
          <w:szCs w:val="28"/>
          <w:lang w:val="zh-CN" w:eastAsia="zh-CN" w:bidi="zh-CN"/>
        </w:rPr>
        <w:t>体育部指导的学生在近三年的省级以上学科竞赛中表现出色，</w:t>
      </w:r>
      <w:r>
        <w:rPr>
          <w:rFonts w:hint="eastAsia" w:ascii="Times New Roman" w:hAnsi="Times New Roman" w:eastAsia="仿宋" w:cs="Times New Roman"/>
          <w:color w:val="auto"/>
          <w:spacing w:val="-8"/>
          <w:sz w:val="28"/>
          <w:szCs w:val="28"/>
          <w:lang w:val="en-US" w:eastAsia="zh-CN" w:bidi="zh-CN"/>
        </w:rPr>
        <w:t>学生在省级及国家级学科竞赛中屡获佳绩，共斩获40余项重要奖项。在2023-2024年全国啦啦操联赛中，方佳倩等同学凭借集体花球自选动作荣获第一名；在湖南省第十二届大学生运动会乒乓球比赛里，马欣雅、张婉霞、孙俊皓、潘冰团队勇夺女子团体二等奖；陈丽娇、李思宇等同学在2023、2024年湖南省大学生啦啦操、健美操、体育舞蹈比赛中表现出色，拿下多项一等奖等众多荣誉。</w:t>
      </w:r>
      <w:r>
        <w:rPr>
          <w:rFonts w:hint="eastAsia" w:ascii="Times New Roman" w:hAnsi="Times New Roman" w:eastAsia="仿宋" w:cs="Times New Roman"/>
          <w:color w:val="auto"/>
          <w:spacing w:val="-8"/>
          <w:sz w:val="28"/>
          <w:szCs w:val="28"/>
          <w:lang w:val="zh-CN" w:eastAsia="zh-CN" w:bidi="zh-CN"/>
        </w:rPr>
        <w:t>这些成绩的取得，不仅展示了学生的专业技能和综合素质，也提高了学校的知名度和影响力。为了在学科竞赛中取得好成绩，体育部制定了科学的训练计划和选拔机制，选拔优秀学生组成参赛队伍，并安排专业教师进行指导和训练。</w:t>
      </w:r>
    </w:p>
    <w:tbl>
      <w:tblPr>
        <w:tblStyle w:val="17"/>
        <w:tblW w:w="9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028"/>
        <w:gridCol w:w="3337"/>
        <w:gridCol w:w="765"/>
        <w:gridCol w:w="2265"/>
        <w:gridCol w:w="1416"/>
      </w:tblGrid>
      <w:tr w14:paraId="0F41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61D9C9A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Fonts w:hint="eastAsia" w:ascii="宋体" w:hAnsi="宋体" w:eastAsia="宋体" w:cs="宋体"/>
                <w:color w:val="auto"/>
                <w:spacing w:val="-8"/>
                <w:sz w:val="18"/>
                <w:szCs w:val="18"/>
                <w:vertAlign w:val="baseline"/>
                <w:lang w:val="en-US" w:eastAsia="zh-CN" w:bidi="zh-CN"/>
              </w:rPr>
            </w:pPr>
            <w:r>
              <w:rPr>
                <w:rStyle w:val="35"/>
                <w:rFonts w:hint="eastAsia" w:ascii="宋体" w:hAnsi="宋体" w:eastAsia="宋体" w:cs="宋体"/>
                <w:color w:val="auto"/>
                <w:sz w:val="18"/>
                <w:szCs w:val="18"/>
                <w:lang w:val="en-US" w:eastAsia="zh-CN" w:bidi="ar"/>
              </w:rPr>
              <w:t>获奖时间</w:t>
            </w:r>
          </w:p>
        </w:tc>
        <w:tc>
          <w:tcPr>
            <w:tcW w:w="1028" w:type="dxa"/>
            <w:vAlign w:val="center"/>
          </w:tcPr>
          <w:p w14:paraId="070B824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Fonts w:hint="eastAsia" w:ascii="宋体" w:hAnsi="宋体" w:eastAsia="宋体" w:cs="宋体"/>
                <w:color w:val="auto"/>
                <w:spacing w:val="-8"/>
                <w:sz w:val="18"/>
                <w:szCs w:val="18"/>
                <w:vertAlign w:val="baseline"/>
                <w:lang w:val="en-US" w:eastAsia="zh-CN" w:bidi="zh-CN"/>
              </w:rPr>
            </w:pPr>
            <w:r>
              <w:rPr>
                <w:rStyle w:val="35"/>
                <w:rFonts w:hint="eastAsia" w:ascii="宋体" w:hAnsi="宋体" w:eastAsia="宋体" w:cs="宋体"/>
                <w:color w:val="auto"/>
                <w:sz w:val="18"/>
                <w:szCs w:val="18"/>
                <w:lang w:val="en-US" w:eastAsia="zh-CN" w:bidi="ar"/>
              </w:rPr>
              <w:t>获奖教师、学生或单位</w:t>
            </w:r>
          </w:p>
        </w:tc>
        <w:tc>
          <w:tcPr>
            <w:tcW w:w="3337" w:type="dxa"/>
            <w:vAlign w:val="center"/>
          </w:tcPr>
          <w:p w14:paraId="4068358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Fonts w:hint="eastAsia" w:ascii="宋体" w:hAnsi="宋体" w:eastAsia="宋体" w:cs="宋体"/>
                <w:color w:val="auto"/>
                <w:spacing w:val="-8"/>
                <w:sz w:val="18"/>
                <w:szCs w:val="18"/>
                <w:vertAlign w:val="baseline"/>
                <w:lang w:val="en-US" w:eastAsia="zh-CN" w:bidi="zh-CN"/>
              </w:rPr>
            </w:pPr>
            <w:r>
              <w:rPr>
                <w:rStyle w:val="35"/>
                <w:rFonts w:hint="eastAsia" w:ascii="宋体" w:hAnsi="宋体" w:eastAsia="宋体" w:cs="宋体"/>
                <w:color w:val="auto"/>
                <w:sz w:val="18"/>
                <w:szCs w:val="18"/>
                <w:lang w:val="en-US" w:eastAsia="zh-CN" w:bidi="ar"/>
              </w:rPr>
              <w:t>奖励名称</w:t>
            </w:r>
          </w:p>
        </w:tc>
        <w:tc>
          <w:tcPr>
            <w:tcW w:w="765" w:type="dxa"/>
            <w:vAlign w:val="center"/>
          </w:tcPr>
          <w:p w14:paraId="19EFF41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Fonts w:hint="eastAsia" w:ascii="宋体" w:hAnsi="宋体" w:eastAsia="宋体" w:cs="宋体"/>
                <w:color w:val="auto"/>
                <w:spacing w:val="-8"/>
                <w:sz w:val="18"/>
                <w:szCs w:val="18"/>
                <w:vertAlign w:val="baseline"/>
                <w:lang w:val="en-US" w:eastAsia="zh-CN" w:bidi="zh-CN"/>
              </w:rPr>
            </w:pPr>
            <w:r>
              <w:rPr>
                <w:rStyle w:val="35"/>
                <w:rFonts w:hint="eastAsia" w:ascii="宋体" w:hAnsi="宋体" w:eastAsia="宋体" w:cs="宋体"/>
                <w:color w:val="auto"/>
                <w:sz w:val="18"/>
                <w:szCs w:val="18"/>
                <w:lang w:val="en-US" w:eastAsia="zh-CN" w:bidi="ar"/>
              </w:rPr>
              <w:t>奖励等级</w:t>
            </w:r>
          </w:p>
        </w:tc>
        <w:tc>
          <w:tcPr>
            <w:tcW w:w="2265" w:type="dxa"/>
            <w:vAlign w:val="center"/>
          </w:tcPr>
          <w:p w14:paraId="0225FDB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Fonts w:hint="eastAsia" w:ascii="宋体" w:hAnsi="宋体" w:eastAsia="宋体" w:cs="宋体"/>
                <w:color w:val="auto"/>
                <w:spacing w:val="-8"/>
                <w:sz w:val="18"/>
                <w:szCs w:val="18"/>
                <w:vertAlign w:val="baseline"/>
                <w:lang w:val="en-US" w:eastAsia="zh-CN" w:bidi="zh-CN"/>
              </w:rPr>
            </w:pPr>
            <w:r>
              <w:rPr>
                <w:rStyle w:val="35"/>
                <w:rFonts w:hint="eastAsia" w:ascii="宋体" w:hAnsi="宋体" w:eastAsia="宋体" w:cs="宋体"/>
                <w:color w:val="auto"/>
                <w:sz w:val="18"/>
                <w:szCs w:val="18"/>
                <w:lang w:val="en-US" w:eastAsia="zh-CN" w:bidi="ar"/>
              </w:rPr>
              <w:t>颁奖单位</w:t>
            </w:r>
          </w:p>
        </w:tc>
        <w:tc>
          <w:tcPr>
            <w:tcW w:w="1416" w:type="dxa"/>
            <w:vAlign w:val="center"/>
          </w:tcPr>
          <w:p w14:paraId="5EB854E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Fonts w:hint="eastAsia" w:ascii="宋体" w:hAnsi="宋体" w:eastAsia="宋体" w:cs="宋体"/>
                <w:color w:val="auto"/>
                <w:spacing w:val="-8"/>
                <w:sz w:val="18"/>
                <w:szCs w:val="18"/>
                <w:vertAlign w:val="baseline"/>
                <w:lang w:val="en-US" w:eastAsia="zh-CN" w:bidi="zh-CN"/>
              </w:rPr>
            </w:pPr>
            <w:r>
              <w:rPr>
                <w:rStyle w:val="35"/>
                <w:rFonts w:hint="eastAsia" w:ascii="宋体" w:hAnsi="宋体" w:eastAsia="宋体" w:cs="宋体"/>
                <w:color w:val="auto"/>
                <w:sz w:val="18"/>
                <w:szCs w:val="18"/>
                <w:lang w:val="en-US" w:eastAsia="zh-CN" w:bidi="ar"/>
              </w:rPr>
              <w:t>指导教师</w:t>
            </w:r>
          </w:p>
        </w:tc>
      </w:tr>
      <w:tr w14:paraId="7CC21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0CE0A95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Fonts w:hint="eastAsia" w:ascii="宋体" w:hAnsi="宋体" w:eastAsia="宋体" w:cs="宋体"/>
                <w:color w:val="auto"/>
                <w:spacing w:val="-8"/>
                <w:sz w:val="18"/>
                <w:szCs w:val="18"/>
                <w:vertAlign w:val="baseline"/>
                <w:lang w:val="en-US" w:eastAsia="zh-CN" w:bidi="zh-CN"/>
              </w:rPr>
            </w:pPr>
            <w:r>
              <w:rPr>
                <w:rFonts w:hint="eastAsia" w:ascii="宋体" w:hAnsi="宋体" w:eastAsia="宋体" w:cs="宋体"/>
                <w:i w:val="0"/>
                <w:iCs w:val="0"/>
                <w:color w:val="auto"/>
                <w:kern w:val="0"/>
                <w:sz w:val="18"/>
                <w:szCs w:val="18"/>
                <w:u w:val="none"/>
                <w:lang w:val="en-US" w:eastAsia="zh-CN" w:bidi="ar"/>
              </w:rPr>
              <w:t>2022.09</w:t>
            </w:r>
          </w:p>
        </w:tc>
        <w:tc>
          <w:tcPr>
            <w:tcW w:w="1028" w:type="dxa"/>
            <w:vAlign w:val="center"/>
          </w:tcPr>
          <w:p w14:paraId="35467DF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Fonts w:hint="eastAsia" w:ascii="宋体" w:hAnsi="宋体" w:eastAsia="宋体" w:cs="宋体"/>
                <w:color w:val="auto"/>
                <w:spacing w:val="-8"/>
                <w:sz w:val="18"/>
                <w:szCs w:val="18"/>
                <w:vertAlign w:val="baseline"/>
                <w:lang w:val="en-US" w:eastAsia="zh-CN" w:bidi="zh-CN"/>
              </w:rPr>
            </w:pPr>
            <w:r>
              <w:rPr>
                <w:rStyle w:val="36"/>
                <w:rFonts w:hint="eastAsia" w:ascii="宋体" w:hAnsi="宋体" w:eastAsia="宋体" w:cs="宋体"/>
                <w:color w:val="auto"/>
                <w:sz w:val="18"/>
                <w:szCs w:val="18"/>
                <w:lang w:val="en-US" w:eastAsia="zh-CN" w:bidi="ar"/>
              </w:rPr>
              <w:t>马欣雅</w:t>
            </w:r>
          </w:p>
        </w:tc>
        <w:tc>
          <w:tcPr>
            <w:tcW w:w="3337" w:type="dxa"/>
            <w:vAlign w:val="center"/>
          </w:tcPr>
          <w:p w14:paraId="3FC6072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Fonts w:hint="eastAsia" w:ascii="宋体" w:hAnsi="宋体" w:eastAsia="宋体" w:cs="宋体"/>
                <w:color w:val="auto"/>
                <w:spacing w:val="-8"/>
                <w:sz w:val="18"/>
                <w:szCs w:val="18"/>
                <w:vertAlign w:val="baseline"/>
                <w:lang w:val="en-US" w:eastAsia="zh-CN" w:bidi="zh-CN"/>
              </w:rPr>
            </w:pPr>
            <w:r>
              <w:rPr>
                <w:rStyle w:val="36"/>
                <w:rFonts w:hint="eastAsia" w:ascii="宋体" w:hAnsi="宋体" w:eastAsia="宋体" w:cs="宋体"/>
                <w:color w:val="auto"/>
                <w:sz w:val="18"/>
                <w:szCs w:val="18"/>
                <w:lang w:val="en-US" w:eastAsia="zh-CN" w:bidi="ar"/>
              </w:rPr>
              <w:t>湖南省第十二届大学生运动会乒乓球比赛</w:t>
            </w:r>
            <w:r>
              <w:rPr>
                <w:rStyle w:val="36"/>
                <w:rFonts w:hint="eastAsia" w:ascii="宋体" w:hAnsi="宋体" w:eastAsia="宋体" w:cs="宋体"/>
                <w:color w:val="auto"/>
                <w:sz w:val="18"/>
                <w:szCs w:val="18"/>
                <w:lang w:val="en-US" w:eastAsia="zh-CN" w:bidi="ar"/>
              </w:rPr>
              <w:br w:type="textWrapping"/>
            </w:r>
            <w:r>
              <w:rPr>
                <w:rStyle w:val="36"/>
                <w:rFonts w:hint="eastAsia" w:ascii="宋体" w:hAnsi="宋体" w:eastAsia="宋体" w:cs="宋体"/>
                <w:color w:val="auto"/>
                <w:sz w:val="18"/>
                <w:szCs w:val="18"/>
                <w:lang w:val="en-US" w:eastAsia="zh-CN" w:bidi="ar"/>
              </w:rPr>
              <w:t>--女子单打</w:t>
            </w:r>
          </w:p>
        </w:tc>
        <w:tc>
          <w:tcPr>
            <w:tcW w:w="765" w:type="dxa"/>
            <w:vAlign w:val="center"/>
          </w:tcPr>
          <w:p w14:paraId="63BA189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Fonts w:hint="eastAsia" w:ascii="宋体" w:hAnsi="宋体" w:eastAsia="宋体" w:cs="宋体"/>
                <w:color w:val="auto"/>
                <w:spacing w:val="-8"/>
                <w:sz w:val="18"/>
                <w:szCs w:val="18"/>
                <w:vertAlign w:val="baseline"/>
                <w:lang w:val="en-US" w:eastAsia="zh-CN" w:bidi="zh-CN"/>
              </w:rPr>
            </w:pPr>
            <w:r>
              <w:rPr>
                <w:rStyle w:val="36"/>
                <w:rFonts w:hint="eastAsia" w:ascii="宋体" w:hAnsi="宋体" w:eastAsia="宋体" w:cs="宋体"/>
                <w:color w:val="auto"/>
                <w:sz w:val="18"/>
                <w:szCs w:val="18"/>
                <w:lang w:val="en-US" w:eastAsia="zh-CN" w:bidi="ar"/>
              </w:rPr>
              <w:t>三等奖</w:t>
            </w:r>
          </w:p>
        </w:tc>
        <w:tc>
          <w:tcPr>
            <w:tcW w:w="2265" w:type="dxa"/>
            <w:vAlign w:val="center"/>
          </w:tcPr>
          <w:p w14:paraId="4FC04B6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Fonts w:hint="eastAsia" w:ascii="宋体" w:hAnsi="宋体" w:eastAsia="宋体" w:cs="宋体"/>
                <w:color w:val="auto"/>
                <w:spacing w:val="-8"/>
                <w:sz w:val="18"/>
                <w:szCs w:val="18"/>
                <w:vertAlign w:val="baseline"/>
                <w:lang w:val="en-US" w:eastAsia="zh-CN" w:bidi="zh-CN"/>
              </w:rPr>
            </w:pPr>
            <w:r>
              <w:rPr>
                <w:rStyle w:val="36"/>
                <w:rFonts w:hint="eastAsia" w:ascii="宋体" w:hAnsi="宋体" w:eastAsia="宋体" w:cs="宋体"/>
                <w:color w:val="auto"/>
                <w:sz w:val="18"/>
                <w:szCs w:val="18"/>
                <w:lang w:val="en-US" w:eastAsia="zh-CN" w:bidi="ar"/>
              </w:rPr>
              <w:t>湖南省第十二届大学生运</w:t>
            </w:r>
            <w:r>
              <w:rPr>
                <w:rStyle w:val="36"/>
                <w:rFonts w:hint="eastAsia" w:ascii="宋体" w:hAnsi="宋体" w:eastAsia="宋体" w:cs="宋体"/>
                <w:color w:val="auto"/>
                <w:sz w:val="18"/>
                <w:szCs w:val="18"/>
                <w:lang w:val="en-US" w:eastAsia="zh-CN" w:bidi="ar"/>
              </w:rPr>
              <w:br w:type="textWrapping"/>
            </w:r>
            <w:r>
              <w:rPr>
                <w:rStyle w:val="36"/>
                <w:rFonts w:hint="eastAsia" w:ascii="宋体" w:hAnsi="宋体" w:eastAsia="宋体" w:cs="宋体"/>
                <w:color w:val="auto"/>
                <w:sz w:val="18"/>
                <w:szCs w:val="18"/>
                <w:lang w:val="en-US" w:eastAsia="zh-CN" w:bidi="ar"/>
              </w:rPr>
              <w:t>动会组织委员会</w:t>
            </w:r>
          </w:p>
        </w:tc>
        <w:tc>
          <w:tcPr>
            <w:tcW w:w="1416" w:type="dxa"/>
            <w:vAlign w:val="center"/>
          </w:tcPr>
          <w:p w14:paraId="53B89A3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王庆云、欧平、李雨樽</w:t>
            </w:r>
          </w:p>
        </w:tc>
      </w:tr>
      <w:tr w14:paraId="30A14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62ECA5A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2022.09</w:t>
            </w:r>
          </w:p>
        </w:tc>
        <w:tc>
          <w:tcPr>
            <w:tcW w:w="1028" w:type="dxa"/>
            <w:vAlign w:val="center"/>
          </w:tcPr>
          <w:p w14:paraId="77CBBA3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马欣雅、张婉霞等</w:t>
            </w:r>
          </w:p>
        </w:tc>
        <w:tc>
          <w:tcPr>
            <w:tcW w:w="3337" w:type="dxa"/>
            <w:vAlign w:val="center"/>
          </w:tcPr>
          <w:p w14:paraId="084979B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湖南省第十二届大学生运动会乒乓球比赛--女子团体</w:t>
            </w:r>
          </w:p>
        </w:tc>
        <w:tc>
          <w:tcPr>
            <w:tcW w:w="765" w:type="dxa"/>
            <w:vAlign w:val="center"/>
          </w:tcPr>
          <w:p w14:paraId="6EE3288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Fonts w:hint="eastAsia" w:ascii="宋体" w:hAnsi="宋体" w:eastAsia="宋体" w:cs="宋体"/>
                <w:color w:val="auto"/>
                <w:spacing w:val="-8"/>
                <w:sz w:val="18"/>
                <w:szCs w:val="18"/>
                <w:vertAlign w:val="baseline"/>
                <w:lang w:val="en-US" w:eastAsia="zh-CN" w:bidi="zh-CN"/>
              </w:rPr>
            </w:pPr>
            <w:r>
              <w:rPr>
                <w:rStyle w:val="37"/>
                <w:rFonts w:hint="eastAsia" w:ascii="宋体" w:hAnsi="宋体" w:eastAsia="宋体" w:cs="宋体"/>
                <w:color w:val="auto"/>
                <w:sz w:val="18"/>
                <w:szCs w:val="18"/>
                <w:lang w:val="en-US" w:eastAsia="zh-CN" w:bidi="ar"/>
              </w:rPr>
              <w:t>二等奖</w:t>
            </w:r>
          </w:p>
        </w:tc>
        <w:tc>
          <w:tcPr>
            <w:tcW w:w="2265" w:type="dxa"/>
            <w:vAlign w:val="center"/>
          </w:tcPr>
          <w:p w14:paraId="37DB94D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湖南省第十二届大学生运</w:t>
            </w:r>
            <w:r>
              <w:rPr>
                <w:rStyle w:val="36"/>
                <w:rFonts w:hint="eastAsia" w:ascii="宋体" w:hAnsi="宋体" w:eastAsia="宋体" w:cs="宋体"/>
                <w:i w:val="0"/>
                <w:iCs w:val="0"/>
                <w:color w:val="auto"/>
                <w:sz w:val="18"/>
                <w:szCs w:val="18"/>
                <w:lang w:val="en-US" w:eastAsia="zh-CN" w:bidi="ar"/>
              </w:rPr>
              <w:br w:type="textWrapping"/>
            </w:r>
            <w:r>
              <w:rPr>
                <w:rStyle w:val="36"/>
                <w:rFonts w:hint="eastAsia" w:ascii="宋体" w:hAnsi="宋体" w:eastAsia="宋体" w:cs="宋体"/>
                <w:i w:val="0"/>
                <w:iCs w:val="0"/>
                <w:color w:val="auto"/>
                <w:sz w:val="18"/>
                <w:szCs w:val="18"/>
                <w:lang w:val="en-US" w:eastAsia="zh-CN" w:bidi="ar"/>
              </w:rPr>
              <w:t>动会组织委员会</w:t>
            </w:r>
          </w:p>
        </w:tc>
        <w:tc>
          <w:tcPr>
            <w:tcW w:w="1416" w:type="dxa"/>
            <w:vAlign w:val="center"/>
          </w:tcPr>
          <w:p w14:paraId="2E64B0D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王庆云、欧平、李雨樽</w:t>
            </w:r>
          </w:p>
        </w:tc>
      </w:tr>
      <w:tr w14:paraId="374DE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21991AD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2022.09</w:t>
            </w:r>
          </w:p>
        </w:tc>
        <w:tc>
          <w:tcPr>
            <w:tcW w:w="1028" w:type="dxa"/>
            <w:vAlign w:val="center"/>
          </w:tcPr>
          <w:p w14:paraId="252B4D0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黄钰雅</w:t>
            </w:r>
          </w:p>
        </w:tc>
        <w:tc>
          <w:tcPr>
            <w:tcW w:w="3337" w:type="dxa"/>
            <w:vAlign w:val="center"/>
          </w:tcPr>
          <w:p w14:paraId="595C31C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湖南省第十二届大学生运动会游泳比赛</w:t>
            </w:r>
            <w:r>
              <w:rPr>
                <w:rStyle w:val="36"/>
                <w:rFonts w:hint="eastAsia" w:ascii="宋体" w:hAnsi="宋体" w:eastAsia="宋体" w:cs="宋体"/>
                <w:i w:val="0"/>
                <w:iCs w:val="0"/>
                <w:color w:val="auto"/>
                <w:sz w:val="18"/>
                <w:szCs w:val="18"/>
                <w:lang w:val="en-US" w:eastAsia="zh-CN" w:bidi="ar"/>
              </w:rPr>
              <w:br w:type="textWrapping"/>
            </w:r>
            <w:r>
              <w:rPr>
                <w:rStyle w:val="36"/>
                <w:rFonts w:hint="eastAsia" w:ascii="宋体" w:hAnsi="宋体" w:eastAsia="宋体" w:cs="宋体"/>
                <w:i w:val="0"/>
                <w:iCs w:val="0"/>
                <w:color w:val="auto"/>
                <w:sz w:val="18"/>
                <w:szCs w:val="18"/>
                <w:lang w:val="en-US" w:eastAsia="zh-CN" w:bidi="ar"/>
              </w:rPr>
              <w:t>--50 米仰泳</w:t>
            </w:r>
          </w:p>
        </w:tc>
        <w:tc>
          <w:tcPr>
            <w:tcW w:w="765" w:type="dxa"/>
            <w:vAlign w:val="center"/>
          </w:tcPr>
          <w:p w14:paraId="5F893E6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Fonts w:hint="eastAsia" w:ascii="宋体" w:hAnsi="宋体" w:eastAsia="宋体" w:cs="宋体"/>
                <w:color w:val="auto"/>
                <w:spacing w:val="-8"/>
                <w:sz w:val="18"/>
                <w:szCs w:val="18"/>
                <w:vertAlign w:val="baseline"/>
                <w:lang w:val="en-US" w:eastAsia="zh-CN" w:bidi="zh-CN"/>
              </w:rPr>
            </w:pPr>
            <w:r>
              <w:rPr>
                <w:rStyle w:val="37"/>
                <w:rFonts w:hint="eastAsia" w:ascii="宋体" w:hAnsi="宋体" w:eastAsia="宋体" w:cs="宋体"/>
                <w:color w:val="auto"/>
                <w:sz w:val="18"/>
                <w:szCs w:val="18"/>
                <w:lang w:val="en-US" w:eastAsia="zh-CN" w:bidi="ar"/>
              </w:rPr>
              <w:t>二等奖</w:t>
            </w:r>
          </w:p>
        </w:tc>
        <w:tc>
          <w:tcPr>
            <w:tcW w:w="2265" w:type="dxa"/>
            <w:vAlign w:val="center"/>
          </w:tcPr>
          <w:p w14:paraId="5CFC3F6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湖南省第十二届大学生运</w:t>
            </w:r>
            <w:r>
              <w:rPr>
                <w:rStyle w:val="36"/>
                <w:rFonts w:hint="eastAsia" w:ascii="宋体" w:hAnsi="宋体" w:eastAsia="宋体" w:cs="宋体"/>
                <w:i w:val="0"/>
                <w:iCs w:val="0"/>
                <w:color w:val="auto"/>
                <w:sz w:val="18"/>
                <w:szCs w:val="18"/>
                <w:lang w:val="en-US" w:eastAsia="zh-CN" w:bidi="ar"/>
              </w:rPr>
              <w:br w:type="textWrapping"/>
            </w:r>
            <w:r>
              <w:rPr>
                <w:rStyle w:val="36"/>
                <w:rFonts w:hint="eastAsia" w:ascii="宋体" w:hAnsi="宋体" w:eastAsia="宋体" w:cs="宋体"/>
                <w:i w:val="0"/>
                <w:iCs w:val="0"/>
                <w:color w:val="auto"/>
                <w:sz w:val="18"/>
                <w:szCs w:val="18"/>
                <w:lang w:val="en-US" w:eastAsia="zh-CN" w:bidi="ar"/>
              </w:rPr>
              <w:t>动会组织委员会</w:t>
            </w:r>
          </w:p>
        </w:tc>
        <w:tc>
          <w:tcPr>
            <w:tcW w:w="1416" w:type="dxa"/>
            <w:vAlign w:val="center"/>
          </w:tcPr>
          <w:p w14:paraId="37F09F3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李照清、樊伟、姜武成</w:t>
            </w:r>
          </w:p>
        </w:tc>
      </w:tr>
      <w:tr w14:paraId="7BF1E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37DEBB7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2022.09</w:t>
            </w:r>
          </w:p>
        </w:tc>
        <w:tc>
          <w:tcPr>
            <w:tcW w:w="1028" w:type="dxa"/>
            <w:vAlign w:val="center"/>
          </w:tcPr>
          <w:p w14:paraId="02202CD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黄钰雅</w:t>
            </w:r>
          </w:p>
        </w:tc>
        <w:tc>
          <w:tcPr>
            <w:tcW w:w="3337" w:type="dxa"/>
            <w:vAlign w:val="center"/>
          </w:tcPr>
          <w:p w14:paraId="2160A2B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湖南省第十二届大学生运动会游泳比赛</w:t>
            </w:r>
            <w:r>
              <w:rPr>
                <w:rStyle w:val="36"/>
                <w:rFonts w:hint="eastAsia" w:ascii="宋体" w:hAnsi="宋体" w:eastAsia="宋体" w:cs="宋体"/>
                <w:i w:val="0"/>
                <w:iCs w:val="0"/>
                <w:color w:val="auto"/>
                <w:sz w:val="18"/>
                <w:szCs w:val="18"/>
                <w:lang w:val="en-US" w:eastAsia="zh-CN" w:bidi="ar"/>
              </w:rPr>
              <w:br w:type="textWrapping"/>
            </w:r>
            <w:r>
              <w:rPr>
                <w:rStyle w:val="36"/>
                <w:rFonts w:hint="eastAsia" w:ascii="宋体" w:hAnsi="宋体" w:eastAsia="宋体" w:cs="宋体"/>
                <w:i w:val="0"/>
                <w:iCs w:val="0"/>
                <w:color w:val="auto"/>
                <w:sz w:val="18"/>
                <w:szCs w:val="18"/>
                <w:lang w:val="en-US" w:eastAsia="zh-CN" w:bidi="ar"/>
              </w:rPr>
              <w:t>--100 米仰泳</w:t>
            </w:r>
          </w:p>
        </w:tc>
        <w:tc>
          <w:tcPr>
            <w:tcW w:w="765" w:type="dxa"/>
            <w:vAlign w:val="center"/>
          </w:tcPr>
          <w:p w14:paraId="68B6517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Fonts w:hint="eastAsia" w:ascii="宋体" w:hAnsi="宋体" w:eastAsia="宋体" w:cs="宋体"/>
                <w:color w:val="auto"/>
                <w:spacing w:val="-8"/>
                <w:sz w:val="18"/>
                <w:szCs w:val="18"/>
                <w:vertAlign w:val="baseline"/>
                <w:lang w:val="en-US" w:eastAsia="zh-CN" w:bidi="zh-CN"/>
              </w:rPr>
            </w:pPr>
            <w:r>
              <w:rPr>
                <w:rStyle w:val="37"/>
                <w:rFonts w:hint="eastAsia" w:ascii="宋体" w:hAnsi="宋体" w:eastAsia="宋体" w:cs="宋体"/>
                <w:color w:val="auto"/>
                <w:sz w:val="18"/>
                <w:szCs w:val="18"/>
                <w:lang w:val="en-US" w:eastAsia="zh-CN" w:bidi="ar"/>
              </w:rPr>
              <w:t>三等奖</w:t>
            </w:r>
          </w:p>
        </w:tc>
        <w:tc>
          <w:tcPr>
            <w:tcW w:w="2265" w:type="dxa"/>
            <w:vAlign w:val="center"/>
          </w:tcPr>
          <w:p w14:paraId="062F9E1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湖南省第十二届大学生运</w:t>
            </w:r>
            <w:r>
              <w:rPr>
                <w:rStyle w:val="36"/>
                <w:rFonts w:hint="eastAsia" w:ascii="宋体" w:hAnsi="宋体" w:eastAsia="宋体" w:cs="宋体"/>
                <w:i w:val="0"/>
                <w:iCs w:val="0"/>
                <w:color w:val="auto"/>
                <w:sz w:val="18"/>
                <w:szCs w:val="18"/>
                <w:lang w:val="en-US" w:eastAsia="zh-CN" w:bidi="ar"/>
              </w:rPr>
              <w:br w:type="textWrapping"/>
            </w:r>
            <w:r>
              <w:rPr>
                <w:rStyle w:val="36"/>
                <w:rFonts w:hint="eastAsia" w:ascii="宋体" w:hAnsi="宋体" w:eastAsia="宋体" w:cs="宋体"/>
                <w:i w:val="0"/>
                <w:iCs w:val="0"/>
                <w:color w:val="auto"/>
                <w:sz w:val="18"/>
                <w:szCs w:val="18"/>
                <w:lang w:val="en-US" w:eastAsia="zh-CN" w:bidi="ar"/>
              </w:rPr>
              <w:t>动会组织委员会</w:t>
            </w:r>
          </w:p>
        </w:tc>
        <w:tc>
          <w:tcPr>
            <w:tcW w:w="1416" w:type="dxa"/>
            <w:vAlign w:val="center"/>
          </w:tcPr>
          <w:p w14:paraId="6986E4E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李照清、樊伟、姜武成</w:t>
            </w:r>
          </w:p>
        </w:tc>
      </w:tr>
      <w:tr w14:paraId="064C6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53F9A76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2022.09</w:t>
            </w:r>
          </w:p>
        </w:tc>
        <w:tc>
          <w:tcPr>
            <w:tcW w:w="1028" w:type="dxa"/>
            <w:vAlign w:val="center"/>
          </w:tcPr>
          <w:p w14:paraId="34A3D9A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邓嘉昱</w:t>
            </w:r>
          </w:p>
        </w:tc>
        <w:tc>
          <w:tcPr>
            <w:tcW w:w="3337" w:type="dxa"/>
            <w:vAlign w:val="center"/>
          </w:tcPr>
          <w:p w14:paraId="11A2275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湖南省第十二届大学生运动会游泳比赛</w:t>
            </w:r>
            <w:r>
              <w:rPr>
                <w:rStyle w:val="36"/>
                <w:rFonts w:hint="eastAsia" w:ascii="宋体" w:hAnsi="宋体" w:eastAsia="宋体" w:cs="宋体"/>
                <w:i w:val="0"/>
                <w:iCs w:val="0"/>
                <w:color w:val="auto"/>
                <w:sz w:val="18"/>
                <w:szCs w:val="18"/>
                <w:lang w:val="en-US" w:eastAsia="zh-CN" w:bidi="ar"/>
              </w:rPr>
              <w:br w:type="textWrapping"/>
            </w:r>
            <w:r>
              <w:rPr>
                <w:rStyle w:val="36"/>
                <w:rFonts w:hint="eastAsia" w:ascii="宋体" w:hAnsi="宋体" w:eastAsia="宋体" w:cs="宋体"/>
                <w:i w:val="0"/>
                <w:iCs w:val="0"/>
                <w:color w:val="auto"/>
                <w:sz w:val="18"/>
                <w:szCs w:val="18"/>
                <w:lang w:val="en-US" w:eastAsia="zh-CN" w:bidi="ar"/>
              </w:rPr>
              <w:t>--50 米仰泳</w:t>
            </w:r>
          </w:p>
        </w:tc>
        <w:tc>
          <w:tcPr>
            <w:tcW w:w="765" w:type="dxa"/>
            <w:vAlign w:val="center"/>
          </w:tcPr>
          <w:p w14:paraId="58CA7B7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Fonts w:hint="eastAsia" w:ascii="宋体" w:hAnsi="宋体" w:eastAsia="宋体" w:cs="宋体"/>
                <w:color w:val="auto"/>
                <w:spacing w:val="-8"/>
                <w:sz w:val="18"/>
                <w:szCs w:val="18"/>
                <w:vertAlign w:val="baseline"/>
                <w:lang w:val="en-US" w:eastAsia="zh-CN" w:bidi="zh-CN"/>
              </w:rPr>
            </w:pPr>
            <w:r>
              <w:rPr>
                <w:rStyle w:val="37"/>
                <w:rFonts w:hint="eastAsia" w:ascii="宋体" w:hAnsi="宋体" w:eastAsia="宋体" w:cs="宋体"/>
                <w:color w:val="auto"/>
                <w:sz w:val="18"/>
                <w:szCs w:val="18"/>
                <w:lang w:val="en-US" w:eastAsia="zh-CN" w:bidi="ar"/>
              </w:rPr>
              <w:t>二等奖</w:t>
            </w:r>
          </w:p>
        </w:tc>
        <w:tc>
          <w:tcPr>
            <w:tcW w:w="2265" w:type="dxa"/>
            <w:vAlign w:val="center"/>
          </w:tcPr>
          <w:p w14:paraId="2607F76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湖南省第十二届大学生运</w:t>
            </w:r>
            <w:r>
              <w:rPr>
                <w:rStyle w:val="36"/>
                <w:rFonts w:hint="eastAsia" w:ascii="宋体" w:hAnsi="宋体" w:eastAsia="宋体" w:cs="宋体"/>
                <w:i w:val="0"/>
                <w:iCs w:val="0"/>
                <w:color w:val="auto"/>
                <w:sz w:val="18"/>
                <w:szCs w:val="18"/>
                <w:lang w:val="en-US" w:eastAsia="zh-CN" w:bidi="ar"/>
              </w:rPr>
              <w:br w:type="textWrapping"/>
            </w:r>
            <w:r>
              <w:rPr>
                <w:rStyle w:val="36"/>
                <w:rFonts w:hint="eastAsia" w:ascii="宋体" w:hAnsi="宋体" w:eastAsia="宋体" w:cs="宋体"/>
                <w:i w:val="0"/>
                <w:iCs w:val="0"/>
                <w:color w:val="auto"/>
                <w:sz w:val="18"/>
                <w:szCs w:val="18"/>
                <w:lang w:val="en-US" w:eastAsia="zh-CN" w:bidi="ar"/>
              </w:rPr>
              <w:t>动会组织委员会</w:t>
            </w:r>
          </w:p>
        </w:tc>
        <w:tc>
          <w:tcPr>
            <w:tcW w:w="1416" w:type="dxa"/>
            <w:vAlign w:val="center"/>
          </w:tcPr>
          <w:p w14:paraId="74C58B0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李照清、樊伟、姜武成</w:t>
            </w:r>
          </w:p>
        </w:tc>
      </w:tr>
      <w:tr w14:paraId="151CE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5CCE345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2022.09</w:t>
            </w:r>
          </w:p>
        </w:tc>
        <w:tc>
          <w:tcPr>
            <w:tcW w:w="1028" w:type="dxa"/>
            <w:vAlign w:val="center"/>
          </w:tcPr>
          <w:p w14:paraId="31CE01F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袁源</w:t>
            </w:r>
          </w:p>
        </w:tc>
        <w:tc>
          <w:tcPr>
            <w:tcW w:w="3337" w:type="dxa"/>
            <w:vAlign w:val="center"/>
          </w:tcPr>
          <w:p w14:paraId="5C898CC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湖南省第十二届大学生运动会游泳比赛-50米仰泳</w:t>
            </w:r>
          </w:p>
        </w:tc>
        <w:tc>
          <w:tcPr>
            <w:tcW w:w="765" w:type="dxa"/>
            <w:vAlign w:val="center"/>
          </w:tcPr>
          <w:p w14:paraId="302C012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Fonts w:hint="eastAsia" w:ascii="宋体" w:hAnsi="宋体" w:eastAsia="宋体" w:cs="宋体"/>
                <w:color w:val="auto"/>
                <w:spacing w:val="-8"/>
                <w:sz w:val="18"/>
                <w:szCs w:val="18"/>
                <w:vertAlign w:val="baseline"/>
                <w:lang w:val="en-US" w:eastAsia="zh-CN" w:bidi="zh-CN"/>
              </w:rPr>
            </w:pPr>
            <w:r>
              <w:rPr>
                <w:rStyle w:val="37"/>
                <w:rFonts w:hint="eastAsia" w:ascii="宋体" w:hAnsi="宋体" w:eastAsia="宋体" w:cs="宋体"/>
                <w:color w:val="auto"/>
                <w:sz w:val="18"/>
                <w:szCs w:val="18"/>
                <w:lang w:val="en-US" w:eastAsia="zh-CN" w:bidi="ar"/>
              </w:rPr>
              <w:t>三等奖</w:t>
            </w:r>
          </w:p>
        </w:tc>
        <w:tc>
          <w:tcPr>
            <w:tcW w:w="2265" w:type="dxa"/>
            <w:vAlign w:val="center"/>
          </w:tcPr>
          <w:p w14:paraId="11CD933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湖南省第十二届大学生运动会组织委员会</w:t>
            </w:r>
          </w:p>
        </w:tc>
        <w:tc>
          <w:tcPr>
            <w:tcW w:w="1416" w:type="dxa"/>
            <w:vAlign w:val="center"/>
          </w:tcPr>
          <w:p w14:paraId="5220738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李照清、樊伟、姜武成</w:t>
            </w:r>
          </w:p>
        </w:tc>
      </w:tr>
      <w:tr w14:paraId="583F8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528C00A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2022.09</w:t>
            </w:r>
          </w:p>
        </w:tc>
        <w:tc>
          <w:tcPr>
            <w:tcW w:w="1028" w:type="dxa"/>
            <w:vAlign w:val="center"/>
          </w:tcPr>
          <w:p w14:paraId="745B7C6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赵元琪</w:t>
            </w:r>
          </w:p>
        </w:tc>
        <w:tc>
          <w:tcPr>
            <w:tcW w:w="3337" w:type="dxa"/>
            <w:vAlign w:val="center"/>
          </w:tcPr>
          <w:p w14:paraId="043C01C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湖南省第十二届大学生运动会游泳比赛</w:t>
            </w:r>
            <w:r>
              <w:rPr>
                <w:rStyle w:val="36"/>
                <w:rFonts w:hint="eastAsia" w:ascii="宋体" w:hAnsi="宋体" w:eastAsia="宋体" w:cs="宋体"/>
                <w:i w:val="0"/>
                <w:iCs w:val="0"/>
                <w:color w:val="auto"/>
                <w:sz w:val="18"/>
                <w:szCs w:val="18"/>
                <w:lang w:val="en-US" w:eastAsia="zh-CN" w:bidi="ar"/>
              </w:rPr>
              <w:br w:type="textWrapping"/>
            </w:r>
            <w:r>
              <w:rPr>
                <w:rStyle w:val="36"/>
                <w:rFonts w:hint="eastAsia" w:ascii="宋体" w:hAnsi="宋体" w:eastAsia="宋体" w:cs="宋体"/>
                <w:i w:val="0"/>
                <w:iCs w:val="0"/>
                <w:color w:val="auto"/>
                <w:sz w:val="18"/>
                <w:szCs w:val="18"/>
                <w:lang w:val="en-US" w:eastAsia="zh-CN" w:bidi="ar"/>
              </w:rPr>
              <w:t>--50 米仰泳</w:t>
            </w:r>
          </w:p>
        </w:tc>
        <w:tc>
          <w:tcPr>
            <w:tcW w:w="765" w:type="dxa"/>
            <w:vAlign w:val="center"/>
          </w:tcPr>
          <w:p w14:paraId="52BB3C6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Fonts w:hint="eastAsia" w:ascii="宋体" w:hAnsi="宋体" w:eastAsia="宋体" w:cs="宋体"/>
                <w:color w:val="auto"/>
                <w:spacing w:val="-8"/>
                <w:sz w:val="18"/>
                <w:szCs w:val="18"/>
                <w:vertAlign w:val="baseline"/>
                <w:lang w:val="en-US" w:eastAsia="zh-CN" w:bidi="zh-CN"/>
              </w:rPr>
            </w:pPr>
            <w:r>
              <w:rPr>
                <w:rStyle w:val="37"/>
                <w:rFonts w:hint="eastAsia" w:ascii="宋体" w:hAnsi="宋体" w:eastAsia="宋体" w:cs="宋体"/>
                <w:color w:val="auto"/>
                <w:sz w:val="18"/>
                <w:szCs w:val="18"/>
                <w:lang w:val="en-US" w:eastAsia="zh-CN" w:bidi="ar"/>
              </w:rPr>
              <w:t>三等奖</w:t>
            </w:r>
          </w:p>
        </w:tc>
        <w:tc>
          <w:tcPr>
            <w:tcW w:w="2265" w:type="dxa"/>
            <w:vAlign w:val="center"/>
          </w:tcPr>
          <w:p w14:paraId="5081489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湖南省第十二届大学生运动会组织委员会</w:t>
            </w:r>
          </w:p>
        </w:tc>
        <w:tc>
          <w:tcPr>
            <w:tcW w:w="1416" w:type="dxa"/>
            <w:vAlign w:val="center"/>
          </w:tcPr>
          <w:p w14:paraId="1896B50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李照清、樊伟、姜武成</w:t>
            </w:r>
          </w:p>
        </w:tc>
      </w:tr>
      <w:tr w14:paraId="150BE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4CE3C2C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2023.12</w:t>
            </w:r>
          </w:p>
        </w:tc>
        <w:tc>
          <w:tcPr>
            <w:tcW w:w="1028" w:type="dxa"/>
            <w:vAlign w:val="center"/>
          </w:tcPr>
          <w:p w14:paraId="3EA682B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谢益玲</w:t>
            </w:r>
          </w:p>
        </w:tc>
        <w:tc>
          <w:tcPr>
            <w:tcW w:w="3337" w:type="dxa"/>
            <w:vAlign w:val="center"/>
          </w:tcPr>
          <w:p w14:paraId="10D8E91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2023 年湖南省大学生游泳比赛 200 米仰泳</w:t>
            </w:r>
          </w:p>
        </w:tc>
        <w:tc>
          <w:tcPr>
            <w:tcW w:w="765" w:type="dxa"/>
            <w:vAlign w:val="center"/>
          </w:tcPr>
          <w:p w14:paraId="626FB0A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二等奖</w:t>
            </w:r>
          </w:p>
        </w:tc>
        <w:tc>
          <w:tcPr>
            <w:tcW w:w="2265" w:type="dxa"/>
            <w:vAlign w:val="center"/>
          </w:tcPr>
          <w:p w14:paraId="4D4092B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湖南省学生体育艺术竞赛</w:t>
            </w:r>
          </w:p>
        </w:tc>
        <w:tc>
          <w:tcPr>
            <w:tcW w:w="1416" w:type="dxa"/>
            <w:vAlign w:val="center"/>
          </w:tcPr>
          <w:p w14:paraId="468BD76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李照清、樊伟、姜武成、刘泽峰</w:t>
            </w:r>
          </w:p>
        </w:tc>
      </w:tr>
      <w:tr w14:paraId="0F77E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3C280A9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2023.12</w:t>
            </w:r>
          </w:p>
        </w:tc>
        <w:tc>
          <w:tcPr>
            <w:tcW w:w="1028" w:type="dxa"/>
            <w:vAlign w:val="center"/>
          </w:tcPr>
          <w:p w14:paraId="5E6E0B6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扶逸佳</w:t>
            </w:r>
          </w:p>
        </w:tc>
        <w:tc>
          <w:tcPr>
            <w:tcW w:w="3337" w:type="dxa"/>
            <w:vAlign w:val="center"/>
          </w:tcPr>
          <w:p w14:paraId="7C958A6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2023年湖南省大学生游泳比赛 50 米蛙泳</w:t>
            </w:r>
          </w:p>
        </w:tc>
        <w:tc>
          <w:tcPr>
            <w:tcW w:w="765" w:type="dxa"/>
            <w:vAlign w:val="center"/>
          </w:tcPr>
          <w:p w14:paraId="7A71AF3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二等奖</w:t>
            </w:r>
          </w:p>
        </w:tc>
        <w:tc>
          <w:tcPr>
            <w:tcW w:w="2265" w:type="dxa"/>
            <w:vAlign w:val="center"/>
          </w:tcPr>
          <w:p w14:paraId="500E79C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湖南省学生体育艺术竞赛</w:t>
            </w:r>
          </w:p>
        </w:tc>
        <w:tc>
          <w:tcPr>
            <w:tcW w:w="1416" w:type="dxa"/>
            <w:vAlign w:val="center"/>
          </w:tcPr>
          <w:p w14:paraId="4D06644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李照清、樊伟、姜武成、刘泽峰</w:t>
            </w:r>
          </w:p>
        </w:tc>
      </w:tr>
      <w:tr w14:paraId="40584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62554E9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2023.12</w:t>
            </w:r>
          </w:p>
        </w:tc>
        <w:tc>
          <w:tcPr>
            <w:tcW w:w="1028" w:type="dxa"/>
            <w:vAlign w:val="center"/>
          </w:tcPr>
          <w:p w14:paraId="30C0787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谭鹏云</w:t>
            </w:r>
          </w:p>
        </w:tc>
        <w:tc>
          <w:tcPr>
            <w:tcW w:w="3337" w:type="dxa"/>
            <w:vAlign w:val="center"/>
          </w:tcPr>
          <w:p w14:paraId="658F1B3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2023 年湖南省大学生游泳比赛 400 米自由泳</w:t>
            </w:r>
          </w:p>
        </w:tc>
        <w:tc>
          <w:tcPr>
            <w:tcW w:w="765" w:type="dxa"/>
            <w:vAlign w:val="center"/>
          </w:tcPr>
          <w:p w14:paraId="089B7D2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二等奖</w:t>
            </w:r>
          </w:p>
        </w:tc>
        <w:tc>
          <w:tcPr>
            <w:tcW w:w="2265" w:type="dxa"/>
            <w:vAlign w:val="center"/>
          </w:tcPr>
          <w:p w14:paraId="6B708AD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湖南省学生体育艺术竞赛</w:t>
            </w:r>
          </w:p>
        </w:tc>
        <w:tc>
          <w:tcPr>
            <w:tcW w:w="1416" w:type="dxa"/>
            <w:vAlign w:val="center"/>
          </w:tcPr>
          <w:p w14:paraId="5335478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李照清、樊伟、姜武成、刘泽峰</w:t>
            </w:r>
          </w:p>
        </w:tc>
      </w:tr>
      <w:tr w14:paraId="64816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36DFC8B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2023.12</w:t>
            </w:r>
          </w:p>
        </w:tc>
        <w:tc>
          <w:tcPr>
            <w:tcW w:w="1028" w:type="dxa"/>
            <w:vAlign w:val="center"/>
          </w:tcPr>
          <w:p w14:paraId="0851B3E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邓嘉昱</w:t>
            </w:r>
          </w:p>
        </w:tc>
        <w:tc>
          <w:tcPr>
            <w:tcW w:w="3337" w:type="dxa"/>
            <w:vAlign w:val="center"/>
          </w:tcPr>
          <w:p w14:paraId="1ED3F58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2023 年湖南省大学生游泳比赛 100 米蝶泳</w:t>
            </w:r>
          </w:p>
        </w:tc>
        <w:tc>
          <w:tcPr>
            <w:tcW w:w="765" w:type="dxa"/>
            <w:vAlign w:val="center"/>
          </w:tcPr>
          <w:p w14:paraId="622B936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二等奖</w:t>
            </w:r>
          </w:p>
        </w:tc>
        <w:tc>
          <w:tcPr>
            <w:tcW w:w="2265" w:type="dxa"/>
            <w:vAlign w:val="center"/>
          </w:tcPr>
          <w:p w14:paraId="736172C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湖南省学生体育艺术竞赛</w:t>
            </w:r>
          </w:p>
        </w:tc>
        <w:tc>
          <w:tcPr>
            <w:tcW w:w="1416" w:type="dxa"/>
            <w:vAlign w:val="center"/>
          </w:tcPr>
          <w:p w14:paraId="7D0D70C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李照清、樊伟、姜武成、刘泽峰</w:t>
            </w:r>
          </w:p>
        </w:tc>
      </w:tr>
      <w:tr w14:paraId="3F182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2B435CC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2023.12</w:t>
            </w:r>
          </w:p>
        </w:tc>
        <w:tc>
          <w:tcPr>
            <w:tcW w:w="1028" w:type="dxa"/>
            <w:vAlign w:val="center"/>
          </w:tcPr>
          <w:p w14:paraId="3D376A7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邓嘉昱，文言炜，刘渝晢，</w:t>
            </w:r>
            <w:r>
              <w:rPr>
                <w:rStyle w:val="36"/>
                <w:rFonts w:hint="eastAsia" w:ascii="宋体" w:hAnsi="宋体" w:eastAsia="宋体" w:cs="宋体"/>
                <w:i w:val="0"/>
                <w:iCs w:val="0"/>
                <w:color w:val="auto"/>
                <w:sz w:val="18"/>
                <w:szCs w:val="18"/>
                <w:lang w:val="en-US" w:eastAsia="zh-CN" w:bidi="ar"/>
              </w:rPr>
              <w:br w:type="textWrapping"/>
            </w:r>
            <w:r>
              <w:rPr>
                <w:rStyle w:val="36"/>
                <w:rFonts w:hint="eastAsia" w:ascii="宋体" w:hAnsi="宋体" w:eastAsia="宋体" w:cs="宋体"/>
                <w:i w:val="0"/>
                <w:iCs w:val="0"/>
                <w:color w:val="auto"/>
                <w:sz w:val="18"/>
                <w:szCs w:val="18"/>
                <w:lang w:val="en-US" w:eastAsia="zh-CN" w:bidi="ar"/>
              </w:rPr>
              <w:t>白锦衡</w:t>
            </w:r>
          </w:p>
        </w:tc>
        <w:tc>
          <w:tcPr>
            <w:tcW w:w="3337" w:type="dxa"/>
            <w:vAlign w:val="center"/>
          </w:tcPr>
          <w:p w14:paraId="169AA45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2023 年湖南省大学生游泳比赛男女4×</w:t>
            </w:r>
            <w:r>
              <w:rPr>
                <w:rStyle w:val="36"/>
                <w:rFonts w:hint="eastAsia" w:ascii="宋体" w:hAnsi="宋体" w:eastAsia="宋体" w:cs="宋体"/>
                <w:i w:val="0"/>
                <w:iCs w:val="0"/>
                <w:color w:val="auto"/>
                <w:sz w:val="18"/>
                <w:szCs w:val="18"/>
                <w:lang w:val="en-US" w:eastAsia="zh-CN" w:bidi="ar"/>
              </w:rPr>
              <w:br w:type="textWrapping"/>
            </w:r>
            <w:r>
              <w:rPr>
                <w:rStyle w:val="36"/>
                <w:rFonts w:hint="eastAsia" w:ascii="宋体" w:hAnsi="宋体" w:eastAsia="宋体" w:cs="宋体"/>
                <w:i w:val="0"/>
                <w:iCs w:val="0"/>
                <w:color w:val="auto"/>
                <w:sz w:val="18"/>
                <w:szCs w:val="18"/>
                <w:lang w:val="en-US" w:eastAsia="zh-CN" w:bidi="ar"/>
              </w:rPr>
              <w:t>100 自由泳接力</w:t>
            </w:r>
          </w:p>
        </w:tc>
        <w:tc>
          <w:tcPr>
            <w:tcW w:w="765" w:type="dxa"/>
            <w:vAlign w:val="center"/>
          </w:tcPr>
          <w:p w14:paraId="4F2ACC5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三等奖</w:t>
            </w:r>
          </w:p>
        </w:tc>
        <w:tc>
          <w:tcPr>
            <w:tcW w:w="2265" w:type="dxa"/>
            <w:vAlign w:val="center"/>
          </w:tcPr>
          <w:p w14:paraId="532ABE8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湖南省学生体育艺术竞赛</w:t>
            </w:r>
          </w:p>
        </w:tc>
        <w:tc>
          <w:tcPr>
            <w:tcW w:w="1416" w:type="dxa"/>
            <w:vAlign w:val="center"/>
          </w:tcPr>
          <w:p w14:paraId="4FA1BDA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李照清、樊伟、姜武成、刘泽峰</w:t>
            </w:r>
          </w:p>
        </w:tc>
      </w:tr>
      <w:tr w14:paraId="71DB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59DA9C9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2024.6</w:t>
            </w:r>
          </w:p>
        </w:tc>
        <w:tc>
          <w:tcPr>
            <w:tcW w:w="1028" w:type="dxa"/>
            <w:vAlign w:val="center"/>
          </w:tcPr>
          <w:p w14:paraId="711B37D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黄琳妮、</w:t>
            </w:r>
            <w:r>
              <w:rPr>
                <w:rStyle w:val="36"/>
                <w:rFonts w:hint="eastAsia" w:ascii="宋体" w:hAnsi="宋体" w:eastAsia="宋体" w:cs="宋体"/>
                <w:i w:val="0"/>
                <w:iCs w:val="0"/>
                <w:color w:val="auto"/>
                <w:sz w:val="18"/>
                <w:szCs w:val="18"/>
                <w:lang w:val="en-US" w:eastAsia="zh-CN" w:bidi="ar"/>
              </w:rPr>
              <w:br w:type="textWrapping"/>
            </w:r>
            <w:r>
              <w:rPr>
                <w:rStyle w:val="36"/>
                <w:rFonts w:hint="eastAsia" w:ascii="宋体" w:hAnsi="宋体" w:eastAsia="宋体" w:cs="宋体"/>
                <w:i w:val="0"/>
                <w:iCs w:val="0"/>
                <w:color w:val="auto"/>
                <w:sz w:val="18"/>
                <w:szCs w:val="18"/>
                <w:lang w:val="en-US" w:eastAsia="zh-CN" w:bidi="ar"/>
              </w:rPr>
              <w:t>唐艺桐等</w:t>
            </w:r>
          </w:p>
        </w:tc>
        <w:tc>
          <w:tcPr>
            <w:tcW w:w="3337" w:type="dxa"/>
            <w:vAlign w:val="center"/>
          </w:tcPr>
          <w:p w14:paraId="06D07CA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2024 年湖南省阳光体操节大学花球第一，二，四名</w:t>
            </w:r>
          </w:p>
        </w:tc>
        <w:tc>
          <w:tcPr>
            <w:tcW w:w="765" w:type="dxa"/>
            <w:vAlign w:val="center"/>
          </w:tcPr>
          <w:p w14:paraId="20EE1E8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省级</w:t>
            </w:r>
          </w:p>
        </w:tc>
        <w:tc>
          <w:tcPr>
            <w:tcW w:w="2265" w:type="dxa"/>
            <w:vAlign w:val="center"/>
          </w:tcPr>
          <w:p w14:paraId="62D9907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湖南省阳光体操节组委会</w:t>
            </w:r>
          </w:p>
        </w:tc>
        <w:tc>
          <w:tcPr>
            <w:tcW w:w="1416" w:type="dxa"/>
            <w:vAlign w:val="center"/>
          </w:tcPr>
          <w:p w14:paraId="0FDF05F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段佳丽</w:t>
            </w:r>
          </w:p>
        </w:tc>
      </w:tr>
      <w:tr w14:paraId="524BD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5C4F91F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2023.11</w:t>
            </w:r>
          </w:p>
        </w:tc>
        <w:tc>
          <w:tcPr>
            <w:tcW w:w="1028" w:type="dxa"/>
            <w:vAlign w:val="center"/>
          </w:tcPr>
          <w:p w14:paraId="6B2C287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陈丽娇、李思宇等</w:t>
            </w:r>
          </w:p>
        </w:tc>
        <w:tc>
          <w:tcPr>
            <w:tcW w:w="3337" w:type="dxa"/>
            <w:vAlign w:val="center"/>
          </w:tcPr>
          <w:p w14:paraId="493CE9A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2023 年湖南省大学生啦啦操比赛集体爵士第一名</w:t>
            </w:r>
          </w:p>
        </w:tc>
        <w:tc>
          <w:tcPr>
            <w:tcW w:w="765" w:type="dxa"/>
            <w:vAlign w:val="center"/>
          </w:tcPr>
          <w:p w14:paraId="24C63A0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一等奖</w:t>
            </w:r>
          </w:p>
        </w:tc>
        <w:tc>
          <w:tcPr>
            <w:tcW w:w="2265" w:type="dxa"/>
            <w:vAlign w:val="center"/>
          </w:tcPr>
          <w:p w14:paraId="0F347C0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湖南省教育厅</w:t>
            </w:r>
          </w:p>
        </w:tc>
        <w:tc>
          <w:tcPr>
            <w:tcW w:w="1416" w:type="dxa"/>
            <w:vAlign w:val="center"/>
          </w:tcPr>
          <w:p w14:paraId="64D3127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樊伟</w:t>
            </w:r>
            <w:r>
              <w:rPr>
                <w:rStyle w:val="37"/>
                <w:rFonts w:hint="eastAsia" w:ascii="宋体" w:hAnsi="宋体" w:eastAsia="宋体" w:cs="宋体"/>
                <w:i w:val="0"/>
                <w:iCs w:val="0"/>
                <w:color w:val="auto"/>
                <w:sz w:val="18"/>
                <w:szCs w:val="18"/>
                <w:lang w:val="en-US" w:eastAsia="zh-CN" w:bidi="ar"/>
              </w:rPr>
              <w:br w:type="textWrapping"/>
            </w:r>
            <w:r>
              <w:rPr>
                <w:rStyle w:val="37"/>
                <w:rFonts w:hint="eastAsia" w:ascii="宋体" w:hAnsi="宋体" w:eastAsia="宋体" w:cs="宋体"/>
                <w:i w:val="0"/>
                <w:iCs w:val="0"/>
                <w:color w:val="auto"/>
                <w:sz w:val="18"/>
                <w:szCs w:val="18"/>
                <w:lang w:val="en-US" w:eastAsia="zh-CN" w:bidi="ar"/>
              </w:rPr>
              <w:t>唐悦悦张宇</w:t>
            </w:r>
          </w:p>
        </w:tc>
      </w:tr>
      <w:tr w14:paraId="2E873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5FB0B4D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2023.11</w:t>
            </w:r>
          </w:p>
        </w:tc>
        <w:tc>
          <w:tcPr>
            <w:tcW w:w="1028" w:type="dxa"/>
            <w:vAlign w:val="center"/>
          </w:tcPr>
          <w:p w14:paraId="1C3A8CB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陈丽娇、喻思维等</w:t>
            </w:r>
          </w:p>
        </w:tc>
        <w:tc>
          <w:tcPr>
            <w:tcW w:w="3337" w:type="dxa"/>
            <w:vAlign w:val="center"/>
          </w:tcPr>
          <w:p w14:paraId="1BEB405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2023 年湖南省大学生啦啦操比赛混合小团体配合技巧第二名</w:t>
            </w:r>
          </w:p>
        </w:tc>
        <w:tc>
          <w:tcPr>
            <w:tcW w:w="765" w:type="dxa"/>
            <w:vAlign w:val="center"/>
          </w:tcPr>
          <w:p w14:paraId="692CA86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一等奖</w:t>
            </w:r>
          </w:p>
        </w:tc>
        <w:tc>
          <w:tcPr>
            <w:tcW w:w="2265" w:type="dxa"/>
            <w:vAlign w:val="center"/>
          </w:tcPr>
          <w:p w14:paraId="59F99F9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湖南省教育厅</w:t>
            </w:r>
          </w:p>
        </w:tc>
        <w:tc>
          <w:tcPr>
            <w:tcW w:w="1416" w:type="dxa"/>
            <w:vAlign w:val="center"/>
          </w:tcPr>
          <w:p w14:paraId="2997C5D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樊伟</w:t>
            </w:r>
            <w:r>
              <w:rPr>
                <w:rStyle w:val="37"/>
                <w:rFonts w:hint="eastAsia" w:ascii="宋体" w:hAnsi="宋体" w:eastAsia="宋体" w:cs="宋体"/>
                <w:i w:val="0"/>
                <w:iCs w:val="0"/>
                <w:color w:val="auto"/>
                <w:sz w:val="18"/>
                <w:szCs w:val="18"/>
                <w:lang w:val="en-US" w:eastAsia="zh-CN" w:bidi="ar"/>
              </w:rPr>
              <w:br w:type="textWrapping"/>
            </w:r>
            <w:r>
              <w:rPr>
                <w:rStyle w:val="37"/>
                <w:rFonts w:hint="eastAsia" w:ascii="宋体" w:hAnsi="宋体" w:eastAsia="宋体" w:cs="宋体"/>
                <w:i w:val="0"/>
                <w:iCs w:val="0"/>
                <w:color w:val="auto"/>
                <w:sz w:val="18"/>
                <w:szCs w:val="18"/>
                <w:lang w:val="en-US" w:eastAsia="zh-CN" w:bidi="ar"/>
              </w:rPr>
              <w:t>唐悦悦张宇</w:t>
            </w:r>
          </w:p>
        </w:tc>
      </w:tr>
      <w:tr w14:paraId="15F8A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76A72F1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2023.11</w:t>
            </w:r>
          </w:p>
        </w:tc>
        <w:tc>
          <w:tcPr>
            <w:tcW w:w="1028" w:type="dxa"/>
            <w:vAlign w:val="center"/>
          </w:tcPr>
          <w:p w14:paraId="35C75D7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陈丽娇、李思宇等</w:t>
            </w:r>
          </w:p>
        </w:tc>
        <w:tc>
          <w:tcPr>
            <w:tcW w:w="3337" w:type="dxa"/>
            <w:vAlign w:val="center"/>
          </w:tcPr>
          <w:p w14:paraId="5F74E4D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2023 年湖南省大学生啦啦操比赛集体花球第三名</w:t>
            </w:r>
          </w:p>
        </w:tc>
        <w:tc>
          <w:tcPr>
            <w:tcW w:w="765" w:type="dxa"/>
            <w:vAlign w:val="center"/>
          </w:tcPr>
          <w:p w14:paraId="4C80B34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一等奖</w:t>
            </w:r>
          </w:p>
        </w:tc>
        <w:tc>
          <w:tcPr>
            <w:tcW w:w="2265" w:type="dxa"/>
            <w:vAlign w:val="center"/>
          </w:tcPr>
          <w:p w14:paraId="5970060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湖南省教育厅</w:t>
            </w:r>
          </w:p>
        </w:tc>
        <w:tc>
          <w:tcPr>
            <w:tcW w:w="1416" w:type="dxa"/>
            <w:vAlign w:val="center"/>
          </w:tcPr>
          <w:p w14:paraId="6ECDB65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樊伟</w:t>
            </w:r>
            <w:r>
              <w:rPr>
                <w:rStyle w:val="37"/>
                <w:rFonts w:hint="eastAsia" w:ascii="宋体" w:hAnsi="宋体" w:eastAsia="宋体" w:cs="宋体"/>
                <w:i w:val="0"/>
                <w:iCs w:val="0"/>
                <w:color w:val="auto"/>
                <w:sz w:val="18"/>
                <w:szCs w:val="18"/>
                <w:lang w:val="en-US" w:eastAsia="zh-CN" w:bidi="ar"/>
              </w:rPr>
              <w:br w:type="textWrapping"/>
            </w:r>
            <w:r>
              <w:rPr>
                <w:rStyle w:val="37"/>
                <w:rFonts w:hint="eastAsia" w:ascii="宋体" w:hAnsi="宋体" w:eastAsia="宋体" w:cs="宋体"/>
                <w:i w:val="0"/>
                <w:iCs w:val="0"/>
                <w:color w:val="auto"/>
                <w:sz w:val="18"/>
                <w:szCs w:val="18"/>
                <w:lang w:val="en-US" w:eastAsia="zh-CN" w:bidi="ar"/>
              </w:rPr>
              <w:t>唐悦悦张宇</w:t>
            </w:r>
          </w:p>
        </w:tc>
      </w:tr>
      <w:tr w14:paraId="58339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6DED6C5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2023.11</w:t>
            </w:r>
          </w:p>
        </w:tc>
        <w:tc>
          <w:tcPr>
            <w:tcW w:w="1028" w:type="dxa"/>
            <w:vAlign w:val="center"/>
          </w:tcPr>
          <w:p w14:paraId="78AA120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廖彤宇、高雯芮</w:t>
            </w:r>
          </w:p>
        </w:tc>
        <w:tc>
          <w:tcPr>
            <w:tcW w:w="3337" w:type="dxa"/>
            <w:vAlign w:val="center"/>
          </w:tcPr>
          <w:p w14:paraId="1140A40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2023 年湖南省大学生啦啦操比赛双人花球第三名</w:t>
            </w:r>
          </w:p>
        </w:tc>
        <w:tc>
          <w:tcPr>
            <w:tcW w:w="765" w:type="dxa"/>
            <w:vAlign w:val="center"/>
          </w:tcPr>
          <w:p w14:paraId="667E82D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一等奖</w:t>
            </w:r>
          </w:p>
        </w:tc>
        <w:tc>
          <w:tcPr>
            <w:tcW w:w="2265" w:type="dxa"/>
            <w:vAlign w:val="center"/>
          </w:tcPr>
          <w:p w14:paraId="0225FBB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湖南省教育厅</w:t>
            </w:r>
          </w:p>
        </w:tc>
        <w:tc>
          <w:tcPr>
            <w:tcW w:w="1416" w:type="dxa"/>
            <w:vAlign w:val="center"/>
          </w:tcPr>
          <w:p w14:paraId="1F8E51C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樊伟</w:t>
            </w:r>
            <w:r>
              <w:rPr>
                <w:rStyle w:val="37"/>
                <w:rFonts w:hint="eastAsia" w:ascii="宋体" w:hAnsi="宋体" w:eastAsia="宋体" w:cs="宋体"/>
                <w:i w:val="0"/>
                <w:iCs w:val="0"/>
                <w:color w:val="auto"/>
                <w:sz w:val="18"/>
                <w:szCs w:val="18"/>
                <w:lang w:val="en-US" w:eastAsia="zh-CN" w:bidi="ar"/>
              </w:rPr>
              <w:br w:type="textWrapping"/>
            </w:r>
            <w:r>
              <w:rPr>
                <w:rStyle w:val="37"/>
                <w:rFonts w:hint="eastAsia" w:ascii="宋体" w:hAnsi="宋体" w:eastAsia="宋体" w:cs="宋体"/>
                <w:i w:val="0"/>
                <w:iCs w:val="0"/>
                <w:color w:val="auto"/>
                <w:sz w:val="18"/>
                <w:szCs w:val="18"/>
                <w:lang w:val="en-US" w:eastAsia="zh-CN" w:bidi="ar"/>
              </w:rPr>
              <w:t>唐悦悦张宇</w:t>
            </w:r>
          </w:p>
        </w:tc>
      </w:tr>
      <w:tr w14:paraId="5156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01BB798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2023.11</w:t>
            </w:r>
          </w:p>
        </w:tc>
        <w:tc>
          <w:tcPr>
            <w:tcW w:w="1028" w:type="dxa"/>
            <w:vAlign w:val="center"/>
          </w:tcPr>
          <w:p w14:paraId="4EE67F4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方申奥 谭丽丽</w:t>
            </w:r>
          </w:p>
        </w:tc>
        <w:tc>
          <w:tcPr>
            <w:tcW w:w="3337" w:type="dxa"/>
            <w:vAlign w:val="center"/>
          </w:tcPr>
          <w:p w14:paraId="3E68D10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国标舞单项斗牛  第三名</w:t>
            </w:r>
          </w:p>
        </w:tc>
        <w:tc>
          <w:tcPr>
            <w:tcW w:w="765" w:type="dxa"/>
            <w:vAlign w:val="center"/>
          </w:tcPr>
          <w:p w14:paraId="717A837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省部级</w:t>
            </w:r>
          </w:p>
        </w:tc>
        <w:tc>
          <w:tcPr>
            <w:tcW w:w="2265" w:type="dxa"/>
            <w:vAlign w:val="center"/>
          </w:tcPr>
          <w:p w14:paraId="57B0E34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湖南省教育厅</w:t>
            </w:r>
          </w:p>
        </w:tc>
        <w:tc>
          <w:tcPr>
            <w:tcW w:w="1416" w:type="dxa"/>
            <w:vAlign w:val="center"/>
          </w:tcPr>
          <w:p w14:paraId="0C9D212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李雨樽樊伟王庆云</w:t>
            </w:r>
          </w:p>
        </w:tc>
      </w:tr>
      <w:tr w14:paraId="7FE55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3910424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2023.11</w:t>
            </w:r>
          </w:p>
        </w:tc>
        <w:tc>
          <w:tcPr>
            <w:tcW w:w="1028" w:type="dxa"/>
            <w:vAlign w:val="center"/>
          </w:tcPr>
          <w:p w14:paraId="1E7660B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冯苗苗</w:t>
            </w:r>
          </w:p>
        </w:tc>
        <w:tc>
          <w:tcPr>
            <w:tcW w:w="3337" w:type="dxa"/>
            <w:vAlign w:val="center"/>
          </w:tcPr>
          <w:p w14:paraId="3911F38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国标舞女子单人单项伦巴第一名</w:t>
            </w:r>
          </w:p>
        </w:tc>
        <w:tc>
          <w:tcPr>
            <w:tcW w:w="765" w:type="dxa"/>
            <w:vAlign w:val="center"/>
          </w:tcPr>
          <w:p w14:paraId="60D21CA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省部级</w:t>
            </w:r>
          </w:p>
        </w:tc>
        <w:tc>
          <w:tcPr>
            <w:tcW w:w="2265" w:type="dxa"/>
            <w:vAlign w:val="center"/>
          </w:tcPr>
          <w:p w14:paraId="70AE79E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湖南省教育厅</w:t>
            </w:r>
          </w:p>
        </w:tc>
        <w:tc>
          <w:tcPr>
            <w:tcW w:w="1416" w:type="dxa"/>
            <w:vAlign w:val="center"/>
          </w:tcPr>
          <w:p w14:paraId="4920F11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李雨樽樊伟王庆云</w:t>
            </w:r>
          </w:p>
        </w:tc>
      </w:tr>
      <w:tr w14:paraId="5641D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3E3ECF2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2023.11</w:t>
            </w:r>
          </w:p>
        </w:tc>
        <w:tc>
          <w:tcPr>
            <w:tcW w:w="1028" w:type="dxa"/>
            <w:vAlign w:val="center"/>
          </w:tcPr>
          <w:p w14:paraId="7CC0D53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方申奥 谭丽丽</w:t>
            </w:r>
          </w:p>
        </w:tc>
        <w:tc>
          <w:tcPr>
            <w:tcW w:w="3337" w:type="dxa"/>
            <w:vAlign w:val="center"/>
          </w:tcPr>
          <w:p w14:paraId="7E345A5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国标舞单项伦巴第四名</w:t>
            </w:r>
          </w:p>
        </w:tc>
        <w:tc>
          <w:tcPr>
            <w:tcW w:w="765" w:type="dxa"/>
            <w:vAlign w:val="center"/>
          </w:tcPr>
          <w:p w14:paraId="46DCED1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省部级</w:t>
            </w:r>
          </w:p>
        </w:tc>
        <w:tc>
          <w:tcPr>
            <w:tcW w:w="2265" w:type="dxa"/>
            <w:vAlign w:val="center"/>
          </w:tcPr>
          <w:p w14:paraId="403E03D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湖南省教育厅</w:t>
            </w:r>
          </w:p>
        </w:tc>
        <w:tc>
          <w:tcPr>
            <w:tcW w:w="1416" w:type="dxa"/>
            <w:vAlign w:val="center"/>
          </w:tcPr>
          <w:p w14:paraId="607055D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李雨樽樊伟王庆云</w:t>
            </w:r>
          </w:p>
        </w:tc>
      </w:tr>
      <w:tr w14:paraId="3687E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3742869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2023.11</w:t>
            </w:r>
          </w:p>
        </w:tc>
        <w:tc>
          <w:tcPr>
            <w:tcW w:w="1028" w:type="dxa"/>
            <w:vAlign w:val="center"/>
          </w:tcPr>
          <w:p w14:paraId="50AC08B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袁心怡</w:t>
            </w:r>
          </w:p>
        </w:tc>
        <w:tc>
          <w:tcPr>
            <w:tcW w:w="3337" w:type="dxa"/>
            <w:vAlign w:val="center"/>
          </w:tcPr>
          <w:p w14:paraId="301F493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国标舞女子单人单项牛仔第六名</w:t>
            </w:r>
          </w:p>
        </w:tc>
        <w:tc>
          <w:tcPr>
            <w:tcW w:w="765" w:type="dxa"/>
            <w:vAlign w:val="center"/>
          </w:tcPr>
          <w:p w14:paraId="75E2AF3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省部级</w:t>
            </w:r>
          </w:p>
        </w:tc>
        <w:tc>
          <w:tcPr>
            <w:tcW w:w="2265" w:type="dxa"/>
            <w:vAlign w:val="center"/>
          </w:tcPr>
          <w:p w14:paraId="3B25035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湖南省教育厅</w:t>
            </w:r>
          </w:p>
        </w:tc>
        <w:tc>
          <w:tcPr>
            <w:tcW w:w="1416" w:type="dxa"/>
            <w:vAlign w:val="center"/>
          </w:tcPr>
          <w:p w14:paraId="029CBCE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李雨樽樊伟王庆云</w:t>
            </w:r>
          </w:p>
        </w:tc>
      </w:tr>
      <w:tr w14:paraId="19952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555FB2B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2023.11</w:t>
            </w:r>
          </w:p>
        </w:tc>
        <w:tc>
          <w:tcPr>
            <w:tcW w:w="1028" w:type="dxa"/>
            <w:vAlign w:val="center"/>
          </w:tcPr>
          <w:p w14:paraId="6BDFC80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冯苗苗</w:t>
            </w:r>
          </w:p>
        </w:tc>
        <w:tc>
          <w:tcPr>
            <w:tcW w:w="3337" w:type="dxa"/>
            <w:vAlign w:val="center"/>
          </w:tcPr>
          <w:p w14:paraId="6573301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国标舞女子单人单项恰恰第六名</w:t>
            </w:r>
          </w:p>
        </w:tc>
        <w:tc>
          <w:tcPr>
            <w:tcW w:w="765" w:type="dxa"/>
            <w:vAlign w:val="center"/>
          </w:tcPr>
          <w:p w14:paraId="771D310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省部级</w:t>
            </w:r>
          </w:p>
        </w:tc>
        <w:tc>
          <w:tcPr>
            <w:tcW w:w="2265" w:type="dxa"/>
            <w:vAlign w:val="center"/>
          </w:tcPr>
          <w:p w14:paraId="3F671CF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湖南省教育厅</w:t>
            </w:r>
          </w:p>
        </w:tc>
        <w:tc>
          <w:tcPr>
            <w:tcW w:w="1416" w:type="dxa"/>
            <w:vAlign w:val="center"/>
          </w:tcPr>
          <w:p w14:paraId="09CD5DF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李雨樽樊伟王庆云</w:t>
            </w:r>
          </w:p>
        </w:tc>
      </w:tr>
      <w:tr w14:paraId="6A44A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7FC52C0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2023.11</w:t>
            </w:r>
          </w:p>
        </w:tc>
        <w:tc>
          <w:tcPr>
            <w:tcW w:w="1028" w:type="dxa"/>
            <w:vAlign w:val="center"/>
          </w:tcPr>
          <w:p w14:paraId="6352AF8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梁蓝兮</w:t>
            </w:r>
          </w:p>
        </w:tc>
        <w:tc>
          <w:tcPr>
            <w:tcW w:w="3337" w:type="dxa"/>
            <w:vAlign w:val="center"/>
          </w:tcPr>
          <w:p w14:paraId="0BA628B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国标舞女子单人单项桑巴第七名</w:t>
            </w:r>
          </w:p>
        </w:tc>
        <w:tc>
          <w:tcPr>
            <w:tcW w:w="765" w:type="dxa"/>
            <w:vAlign w:val="center"/>
          </w:tcPr>
          <w:p w14:paraId="28E55A9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省部级</w:t>
            </w:r>
          </w:p>
        </w:tc>
        <w:tc>
          <w:tcPr>
            <w:tcW w:w="2265" w:type="dxa"/>
            <w:vAlign w:val="center"/>
          </w:tcPr>
          <w:p w14:paraId="428D4FB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湖南省教育厅</w:t>
            </w:r>
          </w:p>
        </w:tc>
        <w:tc>
          <w:tcPr>
            <w:tcW w:w="1416" w:type="dxa"/>
            <w:vAlign w:val="center"/>
          </w:tcPr>
          <w:p w14:paraId="4D85246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李雨樽樊伟王庆云</w:t>
            </w:r>
          </w:p>
        </w:tc>
      </w:tr>
      <w:tr w14:paraId="2BD7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03A8BAE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2023.11</w:t>
            </w:r>
          </w:p>
        </w:tc>
        <w:tc>
          <w:tcPr>
            <w:tcW w:w="1028" w:type="dxa"/>
            <w:vAlign w:val="center"/>
          </w:tcPr>
          <w:p w14:paraId="49A2560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袁心怡</w:t>
            </w:r>
          </w:p>
        </w:tc>
        <w:tc>
          <w:tcPr>
            <w:tcW w:w="3337" w:type="dxa"/>
            <w:vAlign w:val="center"/>
          </w:tcPr>
          <w:p w14:paraId="7115531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国标舞女子单人单项恰恰第八名</w:t>
            </w:r>
          </w:p>
        </w:tc>
        <w:tc>
          <w:tcPr>
            <w:tcW w:w="765" w:type="dxa"/>
            <w:vAlign w:val="center"/>
          </w:tcPr>
          <w:p w14:paraId="5200631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省部级</w:t>
            </w:r>
          </w:p>
        </w:tc>
        <w:tc>
          <w:tcPr>
            <w:tcW w:w="2265" w:type="dxa"/>
            <w:vAlign w:val="center"/>
          </w:tcPr>
          <w:p w14:paraId="36FD8AD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湖南省教育厅</w:t>
            </w:r>
          </w:p>
        </w:tc>
        <w:tc>
          <w:tcPr>
            <w:tcW w:w="1416" w:type="dxa"/>
            <w:vAlign w:val="center"/>
          </w:tcPr>
          <w:p w14:paraId="6825889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李雨樽樊伟王庆云</w:t>
            </w:r>
          </w:p>
        </w:tc>
      </w:tr>
      <w:tr w14:paraId="51A43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5E1574C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2023.11</w:t>
            </w:r>
          </w:p>
        </w:tc>
        <w:tc>
          <w:tcPr>
            <w:tcW w:w="1028" w:type="dxa"/>
            <w:vAlign w:val="center"/>
          </w:tcPr>
          <w:p w14:paraId="065C86F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何颖等</w:t>
            </w:r>
          </w:p>
        </w:tc>
        <w:tc>
          <w:tcPr>
            <w:tcW w:w="3337" w:type="dxa"/>
            <w:vAlign w:val="center"/>
          </w:tcPr>
          <w:p w14:paraId="2BFB92F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2023 年湖南省大学生啦啦操比赛集体爵士啦啦操第一名</w:t>
            </w:r>
          </w:p>
        </w:tc>
        <w:tc>
          <w:tcPr>
            <w:tcW w:w="765" w:type="dxa"/>
            <w:vAlign w:val="center"/>
          </w:tcPr>
          <w:p w14:paraId="1F53BA2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省部级</w:t>
            </w:r>
          </w:p>
        </w:tc>
        <w:tc>
          <w:tcPr>
            <w:tcW w:w="2265" w:type="dxa"/>
            <w:vAlign w:val="center"/>
          </w:tcPr>
          <w:p w14:paraId="6A431F1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湖南省教育厅</w:t>
            </w:r>
            <w:r>
              <w:rPr>
                <w:rStyle w:val="36"/>
                <w:rFonts w:hint="eastAsia" w:ascii="宋体" w:hAnsi="宋体" w:eastAsia="宋体" w:cs="宋体"/>
                <w:i w:val="0"/>
                <w:iCs w:val="0"/>
                <w:color w:val="auto"/>
                <w:sz w:val="18"/>
                <w:szCs w:val="18"/>
                <w:lang w:val="en-US" w:eastAsia="zh-CN" w:bidi="ar"/>
              </w:rPr>
              <w:br w:type="textWrapping"/>
            </w:r>
            <w:r>
              <w:rPr>
                <w:rStyle w:val="36"/>
                <w:rFonts w:hint="eastAsia" w:ascii="宋体" w:hAnsi="宋体" w:eastAsia="宋体" w:cs="宋体"/>
                <w:i w:val="0"/>
                <w:iCs w:val="0"/>
                <w:color w:val="auto"/>
                <w:sz w:val="18"/>
                <w:szCs w:val="18"/>
                <w:lang w:val="en-US" w:eastAsia="zh-CN" w:bidi="ar"/>
              </w:rPr>
              <w:t>湖南省学生体育协会</w:t>
            </w:r>
          </w:p>
        </w:tc>
        <w:tc>
          <w:tcPr>
            <w:tcW w:w="1416" w:type="dxa"/>
            <w:vAlign w:val="center"/>
          </w:tcPr>
          <w:p w14:paraId="470C960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樊伟唐悦悦 张宇</w:t>
            </w:r>
          </w:p>
        </w:tc>
      </w:tr>
      <w:tr w14:paraId="691A8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5533B0A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2023.11</w:t>
            </w:r>
          </w:p>
        </w:tc>
        <w:tc>
          <w:tcPr>
            <w:tcW w:w="1028" w:type="dxa"/>
            <w:vAlign w:val="center"/>
          </w:tcPr>
          <w:p w14:paraId="5989B89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高雯芮等</w:t>
            </w:r>
          </w:p>
        </w:tc>
        <w:tc>
          <w:tcPr>
            <w:tcW w:w="3337" w:type="dxa"/>
            <w:vAlign w:val="center"/>
          </w:tcPr>
          <w:p w14:paraId="7369FCD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2023 年湖南省大学生啦啦操比赛集体花球第三名</w:t>
            </w:r>
          </w:p>
        </w:tc>
        <w:tc>
          <w:tcPr>
            <w:tcW w:w="765" w:type="dxa"/>
            <w:vAlign w:val="center"/>
          </w:tcPr>
          <w:p w14:paraId="44E77E7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省部级</w:t>
            </w:r>
          </w:p>
        </w:tc>
        <w:tc>
          <w:tcPr>
            <w:tcW w:w="2265" w:type="dxa"/>
            <w:vAlign w:val="center"/>
          </w:tcPr>
          <w:p w14:paraId="55437AD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湖南省教育厅</w:t>
            </w:r>
            <w:r>
              <w:rPr>
                <w:rStyle w:val="36"/>
                <w:rFonts w:hint="eastAsia" w:ascii="宋体" w:hAnsi="宋体" w:eastAsia="宋体" w:cs="宋体"/>
                <w:i w:val="0"/>
                <w:iCs w:val="0"/>
                <w:color w:val="auto"/>
                <w:sz w:val="18"/>
                <w:szCs w:val="18"/>
                <w:lang w:val="en-US" w:eastAsia="zh-CN" w:bidi="ar"/>
              </w:rPr>
              <w:br w:type="textWrapping"/>
            </w:r>
            <w:r>
              <w:rPr>
                <w:rStyle w:val="36"/>
                <w:rFonts w:hint="eastAsia" w:ascii="宋体" w:hAnsi="宋体" w:eastAsia="宋体" w:cs="宋体"/>
                <w:i w:val="0"/>
                <w:iCs w:val="0"/>
                <w:color w:val="auto"/>
                <w:sz w:val="18"/>
                <w:szCs w:val="18"/>
                <w:lang w:val="en-US" w:eastAsia="zh-CN" w:bidi="ar"/>
              </w:rPr>
              <w:t>湖南省学生体育协会</w:t>
            </w:r>
          </w:p>
        </w:tc>
        <w:tc>
          <w:tcPr>
            <w:tcW w:w="1416" w:type="dxa"/>
            <w:vAlign w:val="center"/>
          </w:tcPr>
          <w:p w14:paraId="2FE8CB5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樊伟唐悦悦 张宇</w:t>
            </w:r>
          </w:p>
        </w:tc>
      </w:tr>
      <w:tr w14:paraId="303EC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3998972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2023.11</w:t>
            </w:r>
          </w:p>
        </w:tc>
        <w:tc>
          <w:tcPr>
            <w:tcW w:w="1028" w:type="dxa"/>
            <w:vAlign w:val="center"/>
          </w:tcPr>
          <w:p w14:paraId="276FF2A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郝益侬等</w:t>
            </w:r>
          </w:p>
        </w:tc>
        <w:tc>
          <w:tcPr>
            <w:tcW w:w="3337" w:type="dxa"/>
            <w:vAlign w:val="center"/>
          </w:tcPr>
          <w:p w14:paraId="2059316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2023 年湖南省大学生啦啦操比赛小团体技巧第二名</w:t>
            </w:r>
          </w:p>
        </w:tc>
        <w:tc>
          <w:tcPr>
            <w:tcW w:w="765" w:type="dxa"/>
            <w:vAlign w:val="center"/>
          </w:tcPr>
          <w:p w14:paraId="0DB3552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省部级</w:t>
            </w:r>
          </w:p>
        </w:tc>
        <w:tc>
          <w:tcPr>
            <w:tcW w:w="2265" w:type="dxa"/>
            <w:vAlign w:val="center"/>
          </w:tcPr>
          <w:p w14:paraId="5B9E086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湖南省教育厅</w:t>
            </w:r>
            <w:r>
              <w:rPr>
                <w:rStyle w:val="36"/>
                <w:rFonts w:hint="eastAsia" w:ascii="宋体" w:hAnsi="宋体" w:eastAsia="宋体" w:cs="宋体"/>
                <w:i w:val="0"/>
                <w:iCs w:val="0"/>
                <w:color w:val="auto"/>
                <w:sz w:val="18"/>
                <w:szCs w:val="18"/>
                <w:lang w:val="en-US" w:eastAsia="zh-CN" w:bidi="ar"/>
              </w:rPr>
              <w:br w:type="textWrapping"/>
            </w:r>
            <w:r>
              <w:rPr>
                <w:rStyle w:val="36"/>
                <w:rFonts w:hint="eastAsia" w:ascii="宋体" w:hAnsi="宋体" w:eastAsia="宋体" w:cs="宋体"/>
                <w:i w:val="0"/>
                <w:iCs w:val="0"/>
                <w:color w:val="auto"/>
                <w:sz w:val="18"/>
                <w:szCs w:val="18"/>
                <w:lang w:val="en-US" w:eastAsia="zh-CN" w:bidi="ar"/>
              </w:rPr>
              <w:t>湖南省学生体育协会</w:t>
            </w:r>
          </w:p>
        </w:tc>
        <w:tc>
          <w:tcPr>
            <w:tcW w:w="1416" w:type="dxa"/>
            <w:vAlign w:val="center"/>
          </w:tcPr>
          <w:p w14:paraId="41D0368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樊伟唐悦悦 张宇</w:t>
            </w:r>
          </w:p>
        </w:tc>
      </w:tr>
      <w:tr w14:paraId="6AE36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15F21F8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2023.11</w:t>
            </w:r>
          </w:p>
        </w:tc>
        <w:tc>
          <w:tcPr>
            <w:tcW w:w="1028" w:type="dxa"/>
            <w:vAlign w:val="center"/>
          </w:tcPr>
          <w:p w14:paraId="1BFF128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廖彤语</w:t>
            </w:r>
          </w:p>
        </w:tc>
        <w:tc>
          <w:tcPr>
            <w:tcW w:w="3337" w:type="dxa"/>
            <w:vAlign w:val="center"/>
          </w:tcPr>
          <w:p w14:paraId="31498AD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2023 年湖南省大学生啦啦操比赛双人花球第三名</w:t>
            </w:r>
          </w:p>
        </w:tc>
        <w:tc>
          <w:tcPr>
            <w:tcW w:w="765" w:type="dxa"/>
            <w:vAlign w:val="center"/>
          </w:tcPr>
          <w:p w14:paraId="66BB336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省部级</w:t>
            </w:r>
          </w:p>
        </w:tc>
        <w:tc>
          <w:tcPr>
            <w:tcW w:w="2265" w:type="dxa"/>
            <w:vAlign w:val="center"/>
          </w:tcPr>
          <w:p w14:paraId="4357199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湖南省教育厅</w:t>
            </w:r>
            <w:r>
              <w:rPr>
                <w:rStyle w:val="36"/>
                <w:rFonts w:hint="eastAsia" w:ascii="宋体" w:hAnsi="宋体" w:eastAsia="宋体" w:cs="宋体"/>
                <w:i w:val="0"/>
                <w:iCs w:val="0"/>
                <w:color w:val="auto"/>
                <w:sz w:val="18"/>
                <w:szCs w:val="18"/>
                <w:lang w:val="en-US" w:eastAsia="zh-CN" w:bidi="ar"/>
              </w:rPr>
              <w:br w:type="textWrapping"/>
            </w:r>
            <w:r>
              <w:rPr>
                <w:rStyle w:val="36"/>
                <w:rFonts w:hint="eastAsia" w:ascii="宋体" w:hAnsi="宋体" w:eastAsia="宋体" w:cs="宋体"/>
                <w:i w:val="0"/>
                <w:iCs w:val="0"/>
                <w:color w:val="auto"/>
                <w:sz w:val="18"/>
                <w:szCs w:val="18"/>
                <w:lang w:val="en-US" w:eastAsia="zh-CN" w:bidi="ar"/>
              </w:rPr>
              <w:t>湖南省学生体育协会</w:t>
            </w:r>
          </w:p>
        </w:tc>
        <w:tc>
          <w:tcPr>
            <w:tcW w:w="1416" w:type="dxa"/>
            <w:vAlign w:val="center"/>
          </w:tcPr>
          <w:p w14:paraId="7731FB7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樊伟唐悦悦 张宇</w:t>
            </w:r>
          </w:p>
        </w:tc>
      </w:tr>
      <w:tr w14:paraId="0F4E0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452F225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2023.12</w:t>
            </w:r>
          </w:p>
        </w:tc>
        <w:tc>
          <w:tcPr>
            <w:tcW w:w="1028" w:type="dxa"/>
            <w:vAlign w:val="center"/>
          </w:tcPr>
          <w:p w14:paraId="58953E5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方佳倩等</w:t>
            </w:r>
          </w:p>
        </w:tc>
        <w:tc>
          <w:tcPr>
            <w:tcW w:w="3337" w:type="dxa"/>
            <w:vAlign w:val="center"/>
          </w:tcPr>
          <w:p w14:paraId="4CC28D0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2023 年-2024 年全国啦啦操联赛集体花球自选动作第一名</w:t>
            </w:r>
          </w:p>
        </w:tc>
        <w:tc>
          <w:tcPr>
            <w:tcW w:w="765" w:type="dxa"/>
            <w:vAlign w:val="center"/>
          </w:tcPr>
          <w:p w14:paraId="1252FDC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国家级</w:t>
            </w:r>
          </w:p>
        </w:tc>
        <w:tc>
          <w:tcPr>
            <w:tcW w:w="2265" w:type="dxa"/>
            <w:vAlign w:val="center"/>
          </w:tcPr>
          <w:p w14:paraId="68A58A8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国家体育总局体操运动协</w:t>
            </w:r>
            <w:r>
              <w:rPr>
                <w:rStyle w:val="36"/>
                <w:rFonts w:hint="eastAsia" w:ascii="宋体" w:hAnsi="宋体" w:eastAsia="宋体" w:cs="宋体"/>
                <w:i w:val="0"/>
                <w:iCs w:val="0"/>
                <w:color w:val="auto"/>
                <w:sz w:val="18"/>
                <w:szCs w:val="18"/>
                <w:lang w:val="en-US" w:eastAsia="zh-CN" w:bidi="ar"/>
              </w:rPr>
              <w:br w:type="textWrapping"/>
            </w:r>
            <w:r>
              <w:rPr>
                <w:rStyle w:val="36"/>
                <w:rFonts w:hint="eastAsia" w:ascii="宋体" w:hAnsi="宋体" w:eastAsia="宋体" w:cs="宋体"/>
                <w:i w:val="0"/>
                <w:iCs w:val="0"/>
                <w:color w:val="auto"/>
                <w:sz w:val="18"/>
                <w:szCs w:val="18"/>
                <w:lang w:val="en-US" w:eastAsia="zh-CN" w:bidi="ar"/>
              </w:rPr>
              <w:t xml:space="preserve">       会管理中心</w:t>
            </w:r>
          </w:p>
        </w:tc>
        <w:tc>
          <w:tcPr>
            <w:tcW w:w="1416" w:type="dxa"/>
            <w:vAlign w:val="center"/>
          </w:tcPr>
          <w:p w14:paraId="33EE3A8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唐悦悦 廖虎武</w:t>
            </w:r>
          </w:p>
        </w:tc>
      </w:tr>
      <w:tr w14:paraId="2F8E8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6050B7A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2024.5</w:t>
            </w:r>
          </w:p>
        </w:tc>
        <w:tc>
          <w:tcPr>
            <w:tcW w:w="1028" w:type="dxa"/>
            <w:vAlign w:val="center"/>
          </w:tcPr>
          <w:p w14:paraId="20644C7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陈丽娇等</w:t>
            </w:r>
          </w:p>
        </w:tc>
        <w:tc>
          <w:tcPr>
            <w:tcW w:w="3337" w:type="dxa"/>
            <w:vAlign w:val="center"/>
          </w:tcPr>
          <w:p w14:paraId="335397E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2024 年湖南省阳光体操节青年丙组集体爵士啦啦操自选第一名</w:t>
            </w:r>
          </w:p>
        </w:tc>
        <w:tc>
          <w:tcPr>
            <w:tcW w:w="765" w:type="dxa"/>
            <w:vAlign w:val="center"/>
          </w:tcPr>
          <w:p w14:paraId="4232DB7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省部级</w:t>
            </w:r>
          </w:p>
        </w:tc>
        <w:tc>
          <w:tcPr>
            <w:tcW w:w="2265" w:type="dxa"/>
            <w:vAlign w:val="center"/>
          </w:tcPr>
          <w:p w14:paraId="528CBBD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湖南省阳光体操节组委会</w:t>
            </w:r>
          </w:p>
        </w:tc>
        <w:tc>
          <w:tcPr>
            <w:tcW w:w="1416" w:type="dxa"/>
            <w:vAlign w:val="center"/>
          </w:tcPr>
          <w:p w14:paraId="2640642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唐悦悦 刘泽锋</w:t>
            </w:r>
          </w:p>
        </w:tc>
      </w:tr>
      <w:tr w14:paraId="70C67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64FD281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2024.5</w:t>
            </w:r>
          </w:p>
        </w:tc>
        <w:tc>
          <w:tcPr>
            <w:tcW w:w="1028" w:type="dxa"/>
            <w:vAlign w:val="center"/>
          </w:tcPr>
          <w:p w14:paraId="123BA9D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李思宇等</w:t>
            </w:r>
          </w:p>
        </w:tc>
        <w:tc>
          <w:tcPr>
            <w:tcW w:w="3337" w:type="dxa"/>
            <w:vAlign w:val="center"/>
          </w:tcPr>
          <w:p w14:paraId="08B10CC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2024 年湖南省阳光体操节公开学院组艺术体操规定动作四级徒手第一名</w:t>
            </w:r>
          </w:p>
        </w:tc>
        <w:tc>
          <w:tcPr>
            <w:tcW w:w="765" w:type="dxa"/>
            <w:vAlign w:val="center"/>
          </w:tcPr>
          <w:p w14:paraId="6D069A1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省部级</w:t>
            </w:r>
          </w:p>
        </w:tc>
        <w:tc>
          <w:tcPr>
            <w:tcW w:w="2265" w:type="dxa"/>
            <w:vAlign w:val="center"/>
          </w:tcPr>
          <w:p w14:paraId="7C0844B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湖南省阳光体操节组委会</w:t>
            </w:r>
          </w:p>
        </w:tc>
        <w:tc>
          <w:tcPr>
            <w:tcW w:w="1416" w:type="dxa"/>
            <w:vAlign w:val="center"/>
          </w:tcPr>
          <w:p w14:paraId="2C7A55C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唐悦悦</w:t>
            </w:r>
          </w:p>
        </w:tc>
      </w:tr>
      <w:tr w14:paraId="6C834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40F2E22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2024.5</w:t>
            </w:r>
          </w:p>
        </w:tc>
        <w:tc>
          <w:tcPr>
            <w:tcW w:w="1028" w:type="dxa"/>
            <w:vAlign w:val="center"/>
          </w:tcPr>
          <w:p w14:paraId="5A93D71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王雨欣等</w:t>
            </w:r>
          </w:p>
        </w:tc>
        <w:tc>
          <w:tcPr>
            <w:tcW w:w="3337" w:type="dxa"/>
            <w:vAlign w:val="center"/>
          </w:tcPr>
          <w:p w14:paraId="4494164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2024 年湖南省阳光体操节青年丙组集体花球啦啦操自选第一名</w:t>
            </w:r>
          </w:p>
        </w:tc>
        <w:tc>
          <w:tcPr>
            <w:tcW w:w="765" w:type="dxa"/>
            <w:vAlign w:val="center"/>
          </w:tcPr>
          <w:p w14:paraId="6CD93FF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省部级</w:t>
            </w:r>
          </w:p>
        </w:tc>
        <w:tc>
          <w:tcPr>
            <w:tcW w:w="2265" w:type="dxa"/>
            <w:vAlign w:val="center"/>
          </w:tcPr>
          <w:p w14:paraId="2EF98DF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湖南省阳光体操节组委会</w:t>
            </w:r>
          </w:p>
        </w:tc>
        <w:tc>
          <w:tcPr>
            <w:tcW w:w="1416" w:type="dxa"/>
            <w:vAlign w:val="center"/>
          </w:tcPr>
          <w:p w14:paraId="2F4377C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唐悦悦</w:t>
            </w:r>
            <w:r>
              <w:rPr>
                <w:rStyle w:val="37"/>
                <w:rFonts w:hint="eastAsia" w:ascii="宋体" w:hAnsi="宋体" w:eastAsia="宋体" w:cs="宋体"/>
                <w:i w:val="0"/>
                <w:iCs w:val="0"/>
                <w:color w:val="auto"/>
                <w:sz w:val="18"/>
                <w:szCs w:val="18"/>
                <w:lang w:val="en-US" w:eastAsia="zh-CN" w:bidi="ar"/>
              </w:rPr>
              <w:br w:type="textWrapping"/>
            </w:r>
            <w:r>
              <w:rPr>
                <w:rStyle w:val="37"/>
                <w:rFonts w:hint="eastAsia" w:ascii="宋体" w:hAnsi="宋体" w:eastAsia="宋体" w:cs="宋体"/>
                <w:i w:val="0"/>
                <w:iCs w:val="0"/>
                <w:color w:val="auto"/>
                <w:sz w:val="18"/>
                <w:szCs w:val="18"/>
                <w:lang w:val="en-US" w:eastAsia="zh-CN" w:bidi="ar"/>
              </w:rPr>
              <w:t>王庆云</w:t>
            </w:r>
          </w:p>
        </w:tc>
      </w:tr>
      <w:tr w14:paraId="141A5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6180D09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2024.5</w:t>
            </w:r>
          </w:p>
        </w:tc>
        <w:tc>
          <w:tcPr>
            <w:tcW w:w="1028" w:type="dxa"/>
            <w:vAlign w:val="center"/>
          </w:tcPr>
          <w:p w14:paraId="1101A83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廖彤语等</w:t>
            </w:r>
          </w:p>
        </w:tc>
        <w:tc>
          <w:tcPr>
            <w:tcW w:w="3337" w:type="dxa"/>
            <w:vAlign w:val="center"/>
          </w:tcPr>
          <w:p w14:paraId="7B9006A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2024 年湖南省阳光体操节青年丙组双人花球啦啦操自选第二名</w:t>
            </w:r>
          </w:p>
        </w:tc>
        <w:tc>
          <w:tcPr>
            <w:tcW w:w="765" w:type="dxa"/>
            <w:vAlign w:val="center"/>
          </w:tcPr>
          <w:p w14:paraId="3C2B4F5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省部级</w:t>
            </w:r>
          </w:p>
        </w:tc>
        <w:tc>
          <w:tcPr>
            <w:tcW w:w="2265" w:type="dxa"/>
            <w:vAlign w:val="center"/>
          </w:tcPr>
          <w:p w14:paraId="60BCA60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湖南省阳光体操节组委会</w:t>
            </w:r>
          </w:p>
        </w:tc>
        <w:tc>
          <w:tcPr>
            <w:tcW w:w="1416" w:type="dxa"/>
            <w:vAlign w:val="center"/>
          </w:tcPr>
          <w:p w14:paraId="5DAC356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刘泽锋</w:t>
            </w:r>
            <w:r>
              <w:rPr>
                <w:rStyle w:val="37"/>
                <w:rFonts w:hint="eastAsia" w:ascii="宋体" w:hAnsi="宋体" w:eastAsia="宋体" w:cs="宋体"/>
                <w:i w:val="0"/>
                <w:iCs w:val="0"/>
                <w:color w:val="auto"/>
                <w:sz w:val="18"/>
                <w:szCs w:val="18"/>
                <w:lang w:val="en-US" w:eastAsia="zh-CN" w:bidi="ar"/>
              </w:rPr>
              <w:br w:type="textWrapping"/>
            </w:r>
            <w:r>
              <w:rPr>
                <w:rStyle w:val="37"/>
                <w:rFonts w:hint="eastAsia" w:ascii="宋体" w:hAnsi="宋体" w:eastAsia="宋体" w:cs="宋体"/>
                <w:i w:val="0"/>
                <w:iCs w:val="0"/>
                <w:color w:val="auto"/>
                <w:sz w:val="18"/>
                <w:szCs w:val="18"/>
                <w:lang w:val="en-US" w:eastAsia="zh-CN" w:bidi="ar"/>
              </w:rPr>
              <w:t>唐悦悦</w:t>
            </w:r>
          </w:p>
        </w:tc>
      </w:tr>
      <w:tr w14:paraId="59381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7FC1D4B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2023.12</w:t>
            </w:r>
          </w:p>
        </w:tc>
        <w:tc>
          <w:tcPr>
            <w:tcW w:w="1028" w:type="dxa"/>
            <w:vAlign w:val="center"/>
          </w:tcPr>
          <w:p w14:paraId="1105402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马欣雅、张金叶、喻雯、李</w:t>
            </w:r>
            <w:r>
              <w:rPr>
                <w:rStyle w:val="36"/>
                <w:rFonts w:hint="eastAsia" w:ascii="宋体" w:hAnsi="宋体" w:eastAsia="宋体" w:cs="宋体"/>
                <w:i w:val="0"/>
                <w:iCs w:val="0"/>
                <w:color w:val="auto"/>
                <w:sz w:val="18"/>
                <w:szCs w:val="18"/>
                <w:lang w:val="en-US" w:eastAsia="zh-CN" w:bidi="ar"/>
              </w:rPr>
              <w:br w:type="textWrapping"/>
            </w:r>
            <w:r>
              <w:rPr>
                <w:rStyle w:val="36"/>
                <w:rFonts w:hint="eastAsia" w:ascii="宋体" w:hAnsi="宋体" w:eastAsia="宋体" w:cs="宋体"/>
                <w:i w:val="0"/>
                <w:iCs w:val="0"/>
                <w:color w:val="auto"/>
                <w:sz w:val="18"/>
                <w:szCs w:val="18"/>
                <w:lang w:val="en-US" w:eastAsia="zh-CN" w:bidi="ar"/>
              </w:rPr>
              <w:t>昕怡</w:t>
            </w:r>
          </w:p>
        </w:tc>
        <w:tc>
          <w:tcPr>
            <w:tcW w:w="3337" w:type="dxa"/>
            <w:vAlign w:val="center"/>
          </w:tcPr>
          <w:p w14:paraId="388778A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2023年湖南省大学生乒乓球比赛</w:t>
            </w:r>
          </w:p>
        </w:tc>
        <w:tc>
          <w:tcPr>
            <w:tcW w:w="765" w:type="dxa"/>
            <w:vAlign w:val="center"/>
          </w:tcPr>
          <w:p w14:paraId="2676B5B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三等奖</w:t>
            </w:r>
          </w:p>
        </w:tc>
        <w:tc>
          <w:tcPr>
            <w:tcW w:w="2265" w:type="dxa"/>
            <w:vAlign w:val="center"/>
          </w:tcPr>
          <w:p w14:paraId="780255B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湖南省教育厅</w:t>
            </w:r>
          </w:p>
        </w:tc>
        <w:tc>
          <w:tcPr>
            <w:tcW w:w="1416" w:type="dxa"/>
            <w:vAlign w:val="center"/>
          </w:tcPr>
          <w:p w14:paraId="4728389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王庆云、崔游</w:t>
            </w:r>
          </w:p>
        </w:tc>
      </w:tr>
      <w:tr w14:paraId="7FF01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2D04AF0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2023.12</w:t>
            </w:r>
          </w:p>
        </w:tc>
        <w:tc>
          <w:tcPr>
            <w:tcW w:w="1028" w:type="dxa"/>
            <w:vAlign w:val="center"/>
          </w:tcPr>
          <w:p w14:paraId="30A61ED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马欣雅、张金叶</w:t>
            </w:r>
          </w:p>
        </w:tc>
        <w:tc>
          <w:tcPr>
            <w:tcW w:w="3337" w:type="dxa"/>
            <w:vAlign w:val="center"/>
          </w:tcPr>
          <w:p w14:paraId="0EC27ED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2023年湖南省大学生乒乓球比赛</w:t>
            </w:r>
          </w:p>
        </w:tc>
        <w:tc>
          <w:tcPr>
            <w:tcW w:w="765" w:type="dxa"/>
            <w:vAlign w:val="center"/>
          </w:tcPr>
          <w:p w14:paraId="053E66A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三等奖</w:t>
            </w:r>
          </w:p>
        </w:tc>
        <w:tc>
          <w:tcPr>
            <w:tcW w:w="2265" w:type="dxa"/>
            <w:vAlign w:val="center"/>
          </w:tcPr>
          <w:p w14:paraId="79D7AA0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湖南省教育厅</w:t>
            </w:r>
          </w:p>
        </w:tc>
        <w:tc>
          <w:tcPr>
            <w:tcW w:w="1416" w:type="dxa"/>
            <w:vAlign w:val="center"/>
          </w:tcPr>
          <w:p w14:paraId="13B5A7F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王庆云、崔游</w:t>
            </w:r>
          </w:p>
        </w:tc>
      </w:tr>
      <w:tr w14:paraId="0223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30BBB1B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2024.05</w:t>
            </w:r>
          </w:p>
        </w:tc>
        <w:tc>
          <w:tcPr>
            <w:tcW w:w="1028" w:type="dxa"/>
            <w:vAlign w:val="center"/>
          </w:tcPr>
          <w:p w14:paraId="424B3BA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刘沁怡等</w:t>
            </w:r>
          </w:p>
        </w:tc>
        <w:tc>
          <w:tcPr>
            <w:tcW w:w="3337" w:type="dxa"/>
            <w:vAlign w:val="center"/>
          </w:tcPr>
          <w:p w14:paraId="560AE53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《Strange things》荣获第十届湖南省青年文化艺术节流行舞比赛项目集体组铜奖（1049814）</w:t>
            </w:r>
          </w:p>
        </w:tc>
        <w:tc>
          <w:tcPr>
            <w:tcW w:w="765" w:type="dxa"/>
            <w:vAlign w:val="center"/>
          </w:tcPr>
          <w:p w14:paraId="2E8F132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省级一等奖集体组铜奖</w:t>
            </w:r>
          </w:p>
        </w:tc>
        <w:tc>
          <w:tcPr>
            <w:tcW w:w="2265" w:type="dxa"/>
            <w:vAlign w:val="center"/>
          </w:tcPr>
          <w:p w14:paraId="3CE30D3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共青团湖南省委、湖南省青年联合会、湖南省学生联合会</w:t>
            </w:r>
          </w:p>
        </w:tc>
        <w:tc>
          <w:tcPr>
            <w:tcW w:w="1416" w:type="dxa"/>
            <w:vAlign w:val="center"/>
          </w:tcPr>
          <w:p w14:paraId="75564BA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吴勇、肖晖妮</w:t>
            </w:r>
          </w:p>
        </w:tc>
      </w:tr>
      <w:tr w14:paraId="7E2AC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32EF6E0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2023.12</w:t>
            </w:r>
          </w:p>
        </w:tc>
        <w:tc>
          <w:tcPr>
            <w:tcW w:w="1028" w:type="dxa"/>
            <w:vAlign w:val="center"/>
          </w:tcPr>
          <w:p w14:paraId="7D47D8A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谢伟才、熊锴云等</w:t>
            </w:r>
          </w:p>
        </w:tc>
        <w:tc>
          <w:tcPr>
            <w:tcW w:w="3337" w:type="dxa"/>
            <w:vAlign w:val="center"/>
          </w:tcPr>
          <w:p w14:paraId="22844AC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2023 年湖南省大学生气排球比赛</w:t>
            </w:r>
          </w:p>
        </w:tc>
        <w:tc>
          <w:tcPr>
            <w:tcW w:w="765" w:type="dxa"/>
            <w:vAlign w:val="center"/>
          </w:tcPr>
          <w:p w14:paraId="7E56A93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男子组第六名</w:t>
            </w:r>
          </w:p>
        </w:tc>
        <w:tc>
          <w:tcPr>
            <w:tcW w:w="2265" w:type="dxa"/>
            <w:vAlign w:val="center"/>
          </w:tcPr>
          <w:p w14:paraId="4DA9ADD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湖南省学生体育协会</w:t>
            </w:r>
          </w:p>
        </w:tc>
        <w:tc>
          <w:tcPr>
            <w:tcW w:w="1416" w:type="dxa"/>
            <w:vAlign w:val="center"/>
          </w:tcPr>
          <w:p w14:paraId="2362E40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吴勇、刘旭</w:t>
            </w:r>
          </w:p>
        </w:tc>
      </w:tr>
      <w:tr w14:paraId="4BB8A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70B879E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2024.6</w:t>
            </w:r>
          </w:p>
        </w:tc>
        <w:tc>
          <w:tcPr>
            <w:tcW w:w="1028" w:type="dxa"/>
            <w:vAlign w:val="center"/>
          </w:tcPr>
          <w:p w14:paraId="2674F08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教师张宇、学</w:t>
            </w:r>
            <w:r>
              <w:rPr>
                <w:rStyle w:val="36"/>
                <w:rFonts w:hint="eastAsia" w:ascii="宋体" w:hAnsi="宋体" w:eastAsia="宋体" w:cs="宋体"/>
                <w:i w:val="0"/>
                <w:iCs w:val="0"/>
                <w:color w:val="auto"/>
                <w:sz w:val="18"/>
                <w:szCs w:val="18"/>
                <w:lang w:val="en-US" w:eastAsia="zh-CN" w:bidi="ar"/>
              </w:rPr>
              <w:br w:type="textWrapping"/>
            </w:r>
            <w:r>
              <w:rPr>
                <w:rStyle w:val="36"/>
                <w:rFonts w:hint="eastAsia" w:ascii="宋体" w:hAnsi="宋体" w:eastAsia="宋体" w:cs="宋体"/>
                <w:i w:val="0"/>
                <w:iCs w:val="0"/>
                <w:color w:val="auto"/>
                <w:sz w:val="18"/>
                <w:szCs w:val="18"/>
                <w:lang w:val="en-US" w:eastAsia="zh-CN" w:bidi="ar"/>
              </w:rPr>
              <w:t>生石子玉，王</w:t>
            </w:r>
            <w:r>
              <w:rPr>
                <w:rStyle w:val="36"/>
                <w:rFonts w:hint="eastAsia" w:ascii="宋体" w:hAnsi="宋体" w:eastAsia="宋体" w:cs="宋体"/>
                <w:i w:val="0"/>
                <w:iCs w:val="0"/>
                <w:color w:val="auto"/>
                <w:sz w:val="18"/>
                <w:szCs w:val="18"/>
                <w:lang w:val="en-US" w:eastAsia="zh-CN" w:bidi="ar"/>
              </w:rPr>
              <w:br w:type="textWrapping"/>
            </w:r>
            <w:r>
              <w:rPr>
                <w:rStyle w:val="36"/>
                <w:rFonts w:hint="eastAsia" w:ascii="宋体" w:hAnsi="宋体" w:eastAsia="宋体" w:cs="宋体"/>
                <w:i w:val="0"/>
                <w:iCs w:val="0"/>
                <w:color w:val="auto"/>
                <w:sz w:val="18"/>
                <w:szCs w:val="18"/>
                <w:lang w:val="en-US" w:eastAsia="zh-CN" w:bidi="ar"/>
              </w:rPr>
              <w:t>恩佳等</w:t>
            </w:r>
          </w:p>
        </w:tc>
        <w:tc>
          <w:tcPr>
            <w:tcW w:w="3337" w:type="dxa"/>
            <w:vAlign w:val="center"/>
          </w:tcPr>
          <w:p w14:paraId="59E0D2F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2024 年湖南省阳光体操节大学花球第一，</w:t>
            </w:r>
            <w:r>
              <w:rPr>
                <w:rStyle w:val="36"/>
                <w:rFonts w:hint="eastAsia" w:ascii="宋体" w:hAnsi="宋体" w:eastAsia="宋体" w:cs="宋体"/>
                <w:i w:val="0"/>
                <w:iCs w:val="0"/>
                <w:color w:val="auto"/>
                <w:sz w:val="18"/>
                <w:szCs w:val="18"/>
                <w:lang w:val="en-US" w:eastAsia="zh-CN" w:bidi="ar"/>
              </w:rPr>
              <w:br w:type="textWrapping"/>
            </w:r>
            <w:r>
              <w:rPr>
                <w:rStyle w:val="36"/>
                <w:rFonts w:hint="eastAsia" w:ascii="宋体" w:hAnsi="宋体" w:eastAsia="宋体" w:cs="宋体"/>
                <w:i w:val="0"/>
                <w:iCs w:val="0"/>
                <w:color w:val="auto"/>
                <w:sz w:val="18"/>
                <w:szCs w:val="18"/>
                <w:lang w:val="en-US" w:eastAsia="zh-CN" w:bidi="ar"/>
              </w:rPr>
              <w:t>二，四名</w:t>
            </w:r>
          </w:p>
        </w:tc>
        <w:tc>
          <w:tcPr>
            <w:tcW w:w="765" w:type="dxa"/>
            <w:vAlign w:val="center"/>
          </w:tcPr>
          <w:p w14:paraId="1035216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省级</w:t>
            </w:r>
          </w:p>
        </w:tc>
        <w:tc>
          <w:tcPr>
            <w:tcW w:w="2265" w:type="dxa"/>
            <w:vAlign w:val="center"/>
          </w:tcPr>
          <w:p w14:paraId="661466B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湖南省阳光体操节组委会</w:t>
            </w:r>
          </w:p>
        </w:tc>
        <w:tc>
          <w:tcPr>
            <w:tcW w:w="1416" w:type="dxa"/>
            <w:vAlign w:val="center"/>
          </w:tcPr>
          <w:p w14:paraId="6B26959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张宇</w:t>
            </w:r>
          </w:p>
        </w:tc>
      </w:tr>
      <w:tr w14:paraId="45A12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200D8D6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2022.09</w:t>
            </w:r>
          </w:p>
        </w:tc>
        <w:tc>
          <w:tcPr>
            <w:tcW w:w="1028" w:type="dxa"/>
            <w:vAlign w:val="center"/>
          </w:tcPr>
          <w:p w14:paraId="40F4FB4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马欣雅、张婉</w:t>
            </w:r>
            <w:r>
              <w:rPr>
                <w:rStyle w:val="36"/>
                <w:rFonts w:hint="eastAsia" w:ascii="宋体" w:hAnsi="宋体" w:eastAsia="宋体" w:cs="宋体"/>
                <w:i w:val="0"/>
                <w:iCs w:val="0"/>
                <w:color w:val="auto"/>
                <w:sz w:val="18"/>
                <w:szCs w:val="18"/>
                <w:lang w:val="en-US" w:eastAsia="zh-CN" w:bidi="ar"/>
              </w:rPr>
              <w:br w:type="textWrapping"/>
            </w:r>
            <w:r>
              <w:rPr>
                <w:rStyle w:val="36"/>
                <w:rFonts w:hint="eastAsia" w:ascii="宋体" w:hAnsi="宋体" w:eastAsia="宋体" w:cs="宋体"/>
                <w:i w:val="0"/>
                <w:iCs w:val="0"/>
                <w:color w:val="auto"/>
                <w:sz w:val="18"/>
                <w:szCs w:val="18"/>
                <w:lang w:val="en-US" w:eastAsia="zh-CN" w:bidi="ar"/>
              </w:rPr>
              <w:t>霞、孙俊皓、</w:t>
            </w:r>
            <w:r>
              <w:rPr>
                <w:rStyle w:val="36"/>
                <w:rFonts w:hint="eastAsia" w:ascii="宋体" w:hAnsi="宋体" w:eastAsia="宋体" w:cs="宋体"/>
                <w:i w:val="0"/>
                <w:iCs w:val="0"/>
                <w:color w:val="auto"/>
                <w:sz w:val="18"/>
                <w:szCs w:val="18"/>
                <w:lang w:val="en-US" w:eastAsia="zh-CN" w:bidi="ar"/>
              </w:rPr>
              <w:br w:type="textWrapping"/>
            </w:r>
            <w:r>
              <w:rPr>
                <w:rStyle w:val="36"/>
                <w:rFonts w:hint="eastAsia" w:ascii="宋体" w:hAnsi="宋体" w:eastAsia="宋体" w:cs="宋体"/>
                <w:i w:val="0"/>
                <w:iCs w:val="0"/>
                <w:color w:val="auto"/>
                <w:sz w:val="18"/>
                <w:szCs w:val="18"/>
                <w:lang w:val="en-US" w:eastAsia="zh-CN" w:bidi="ar"/>
              </w:rPr>
              <w:t>潘冰</w:t>
            </w:r>
          </w:p>
        </w:tc>
        <w:tc>
          <w:tcPr>
            <w:tcW w:w="3337" w:type="dxa"/>
            <w:vAlign w:val="center"/>
          </w:tcPr>
          <w:p w14:paraId="0485EFA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湖南省第十二届大学生运动会乒乓球比赛</w:t>
            </w:r>
            <w:r>
              <w:rPr>
                <w:rStyle w:val="36"/>
                <w:rFonts w:hint="eastAsia" w:ascii="宋体" w:hAnsi="宋体" w:eastAsia="宋体" w:cs="宋体"/>
                <w:i w:val="0"/>
                <w:iCs w:val="0"/>
                <w:color w:val="auto"/>
                <w:sz w:val="18"/>
                <w:szCs w:val="18"/>
                <w:lang w:val="en-US" w:eastAsia="zh-CN" w:bidi="ar"/>
              </w:rPr>
              <w:br w:type="textWrapping"/>
            </w:r>
            <w:r>
              <w:rPr>
                <w:rStyle w:val="36"/>
                <w:rFonts w:hint="eastAsia" w:ascii="宋体" w:hAnsi="宋体" w:eastAsia="宋体" w:cs="宋体"/>
                <w:i w:val="0"/>
                <w:iCs w:val="0"/>
                <w:color w:val="auto"/>
                <w:sz w:val="18"/>
                <w:szCs w:val="18"/>
                <w:lang w:val="en-US" w:eastAsia="zh-CN" w:bidi="ar"/>
              </w:rPr>
              <w:t>--女子团体</w:t>
            </w:r>
          </w:p>
        </w:tc>
        <w:tc>
          <w:tcPr>
            <w:tcW w:w="765" w:type="dxa"/>
            <w:vAlign w:val="center"/>
          </w:tcPr>
          <w:p w14:paraId="0B8AC93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二等奖</w:t>
            </w:r>
          </w:p>
        </w:tc>
        <w:tc>
          <w:tcPr>
            <w:tcW w:w="2265" w:type="dxa"/>
            <w:vAlign w:val="center"/>
          </w:tcPr>
          <w:p w14:paraId="3EBFC0C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湖南省第十二届大学生运</w:t>
            </w:r>
            <w:r>
              <w:rPr>
                <w:rStyle w:val="36"/>
                <w:rFonts w:hint="eastAsia" w:ascii="宋体" w:hAnsi="宋体" w:eastAsia="宋体" w:cs="宋体"/>
                <w:i w:val="0"/>
                <w:iCs w:val="0"/>
                <w:color w:val="auto"/>
                <w:sz w:val="18"/>
                <w:szCs w:val="18"/>
                <w:lang w:val="en-US" w:eastAsia="zh-CN" w:bidi="ar"/>
              </w:rPr>
              <w:br w:type="textWrapping"/>
            </w:r>
            <w:r>
              <w:rPr>
                <w:rStyle w:val="36"/>
                <w:rFonts w:hint="eastAsia" w:ascii="宋体" w:hAnsi="宋体" w:eastAsia="宋体" w:cs="宋体"/>
                <w:i w:val="0"/>
                <w:iCs w:val="0"/>
                <w:color w:val="auto"/>
                <w:sz w:val="18"/>
                <w:szCs w:val="18"/>
                <w:lang w:val="en-US" w:eastAsia="zh-CN" w:bidi="ar"/>
              </w:rPr>
              <w:t>动会组织委员会</w:t>
            </w:r>
          </w:p>
        </w:tc>
        <w:tc>
          <w:tcPr>
            <w:tcW w:w="1416" w:type="dxa"/>
            <w:vAlign w:val="center"/>
          </w:tcPr>
          <w:p w14:paraId="4D28C7F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王庆云、欧平、李雨樽</w:t>
            </w:r>
          </w:p>
        </w:tc>
      </w:tr>
      <w:tr w14:paraId="3046E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Align w:val="center"/>
          </w:tcPr>
          <w:p w14:paraId="2D3224E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2022.09</w:t>
            </w:r>
          </w:p>
        </w:tc>
        <w:tc>
          <w:tcPr>
            <w:tcW w:w="1028" w:type="dxa"/>
            <w:vAlign w:val="center"/>
          </w:tcPr>
          <w:p w14:paraId="11D31EC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黄钰雅</w:t>
            </w:r>
          </w:p>
        </w:tc>
        <w:tc>
          <w:tcPr>
            <w:tcW w:w="3337" w:type="dxa"/>
            <w:vAlign w:val="center"/>
          </w:tcPr>
          <w:p w14:paraId="70017BD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湖南省第十二届大学生运动会游泳比赛</w:t>
            </w:r>
            <w:r>
              <w:rPr>
                <w:rStyle w:val="36"/>
                <w:rFonts w:hint="eastAsia" w:ascii="宋体" w:hAnsi="宋体" w:eastAsia="宋体" w:cs="宋体"/>
                <w:i w:val="0"/>
                <w:iCs w:val="0"/>
                <w:color w:val="auto"/>
                <w:sz w:val="18"/>
                <w:szCs w:val="18"/>
                <w:lang w:val="en-US" w:eastAsia="zh-CN" w:bidi="ar"/>
              </w:rPr>
              <w:br w:type="textWrapping"/>
            </w:r>
            <w:r>
              <w:rPr>
                <w:rStyle w:val="36"/>
                <w:rFonts w:hint="eastAsia" w:ascii="宋体" w:hAnsi="宋体" w:eastAsia="宋体" w:cs="宋体"/>
                <w:i w:val="0"/>
                <w:iCs w:val="0"/>
                <w:color w:val="auto"/>
                <w:sz w:val="18"/>
                <w:szCs w:val="18"/>
                <w:lang w:val="en-US" w:eastAsia="zh-CN" w:bidi="ar"/>
              </w:rPr>
              <w:t>--50 米仰泳</w:t>
            </w:r>
          </w:p>
        </w:tc>
        <w:tc>
          <w:tcPr>
            <w:tcW w:w="765" w:type="dxa"/>
            <w:vAlign w:val="center"/>
          </w:tcPr>
          <w:p w14:paraId="0E56EDE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二等奖</w:t>
            </w:r>
          </w:p>
        </w:tc>
        <w:tc>
          <w:tcPr>
            <w:tcW w:w="2265" w:type="dxa"/>
            <w:vAlign w:val="center"/>
          </w:tcPr>
          <w:p w14:paraId="45AD7CA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6"/>
                <w:rFonts w:hint="eastAsia" w:ascii="宋体" w:hAnsi="宋体" w:eastAsia="宋体" w:cs="宋体"/>
                <w:i w:val="0"/>
                <w:iCs w:val="0"/>
                <w:color w:val="auto"/>
                <w:sz w:val="18"/>
                <w:szCs w:val="18"/>
                <w:lang w:val="en-US" w:eastAsia="zh-CN" w:bidi="ar"/>
              </w:rPr>
            </w:pPr>
            <w:r>
              <w:rPr>
                <w:rStyle w:val="36"/>
                <w:rFonts w:hint="eastAsia" w:ascii="宋体" w:hAnsi="宋体" w:eastAsia="宋体" w:cs="宋体"/>
                <w:i w:val="0"/>
                <w:iCs w:val="0"/>
                <w:color w:val="auto"/>
                <w:sz w:val="18"/>
                <w:szCs w:val="18"/>
                <w:lang w:val="en-US" w:eastAsia="zh-CN" w:bidi="ar"/>
              </w:rPr>
              <w:t>湖南省第十二届大学生运</w:t>
            </w:r>
            <w:r>
              <w:rPr>
                <w:rStyle w:val="36"/>
                <w:rFonts w:hint="eastAsia" w:ascii="宋体" w:hAnsi="宋体" w:eastAsia="宋体" w:cs="宋体"/>
                <w:i w:val="0"/>
                <w:iCs w:val="0"/>
                <w:color w:val="auto"/>
                <w:sz w:val="18"/>
                <w:szCs w:val="18"/>
                <w:lang w:val="en-US" w:eastAsia="zh-CN" w:bidi="ar"/>
              </w:rPr>
              <w:br w:type="textWrapping"/>
            </w:r>
            <w:r>
              <w:rPr>
                <w:rStyle w:val="36"/>
                <w:rFonts w:hint="eastAsia" w:ascii="宋体" w:hAnsi="宋体" w:eastAsia="宋体" w:cs="宋体"/>
                <w:i w:val="0"/>
                <w:iCs w:val="0"/>
                <w:color w:val="auto"/>
                <w:sz w:val="18"/>
                <w:szCs w:val="18"/>
                <w:lang w:val="en-US" w:eastAsia="zh-CN" w:bidi="ar"/>
              </w:rPr>
              <w:t>动会组织委员会</w:t>
            </w:r>
          </w:p>
        </w:tc>
        <w:tc>
          <w:tcPr>
            <w:tcW w:w="1416" w:type="dxa"/>
            <w:vAlign w:val="center"/>
          </w:tcPr>
          <w:p w14:paraId="2787EBA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center"/>
              <w:rPr>
                <w:rStyle w:val="37"/>
                <w:rFonts w:hint="eastAsia" w:ascii="宋体" w:hAnsi="宋体" w:eastAsia="宋体" w:cs="宋体"/>
                <w:i w:val="0"/>
                <w:iCs w:val="0"/>
                <w:color w:val="auto"/>
                <w:sz w:val="18"/>
                <w:szCs w:val="18"/>
                <w:lang w:val="en-US" w:eastAsia="zh-CN" w:bidi="ar"/>
              </w:rPr>
            </w:pPr>
            <w:r>
              <w:rPr>
                <w:rStyle w:val="37"/>
                <w:rFonts w:hint="eastAsia" w:ascii="宋体" w:hAnsi="宋体" w:eastAsia="宋体" w:cs="宋体"/>
                <w:i w:val="0"/>
                <w:iCs w:val="0"/>
                <w:color w:val="auto"/>
                <w:sz w:val="18"/>
                <w:szCs w:val="18"/>
                <w:lang w:val="en-US" w:eastAsia="zh-CN" w:bidi="ar"/>
              </w:rPr>
              <w:t>李照清、樊伟、姜武成</w:t>
            </w:r>
          </w:p>
        </w:tc>
      </w:tr>
    </w:tbl>
    <w:p w14:paraId="65D1B0BB">
      <w:pPr>
        <w:keepNext w:val="0"/>
        <w:keepLines w:val="0"/>
        <w:widowControl/>
        <w:suppressLineNumbers w:val="0"/>
        <w:ind w:left="0" w:leftChars="0" w:firstLine="0" w:firstLineChars="0"/>
        <w:jc w:val="both"/>
        <w:textAlignment w:val="center"/>
        <w:rPr>
          <w:rStyle w:val="37"/>
          <w:rFonts w:hint="default" w:asciiTheme="minorEastAsia" w:hAnsiTheme="minorEastAsia" w:eastAsiaTheme="minorEastAsia" w:cstheme="minorEastAsia"/>
          <w:i w:val="0"/>
          <w:iCs w:val="0"/>
          <w:color w:val="auto"/>
          <w:sz w:val="18"/>
          <w:szCs w:val="18"/>
          <w:lang w:val="en-US" w:eastAsia="zh-CN" w:bidi="ar"/>
        </w:rPr>
      </w:pPr>
    </w:p>
    <w:p w14:paraId="74F214B8">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default" w:ascii="黑体" w:hAnsi="黑体" w:eastAsia="黑体" w:cs="黑体"/>
          <w:b/>
          <w:bCs/>
          <w:color w:val="auto"/>
          <w:sz w:val="32"/>
          <w:szCs w:val="32"/>
          <w:lang w:val="en-US" w:eastAsia="zh-CN"/>
        </w:rPr>
      </w:pPr>
      <w:bookmarkStart w:id="52" w:name="_Toc3435"/>
      <w:r>
        <w:rPr>
          <w:rFonts w:hint="eastAsia" w:ascii="黑体" w:hAnsi="黑体" w:eastAsia="黑体" w:cs="黑体"/>
          <w:b/>
          <w:bCs/>
          <w:color w:val="auto"/>
          <w:sz w:val="32"/>
          <w:szCs w:val="32"/>
          <w:lang w:val="zh-CN" w:eastAsia="zh-CN"/>
        </w:rPr>
        <w:t>2.</w:t>
      </w:r>
      <w:r>
        <w:rPr>
          <w:rFonts w:hint="eastAsia" w:ascii="黑体" w:hAnsi="黑体" w:eastAsia="黑体" w:cs="黑体"/>
          <w:b/>
          <w:bCs/>
          <w:color w:val="auto"/>
          <w:sz w:val="32"/>
          <w:szCs w:val="32"/>
          <w:lang w:val="en-US" w:eastAsia="zh-CN"/>
        </w:rPr>
        <w:t>6</w:t>
      </w:r>
      <w:r>
        <w:rPr>
          <w:rFonts w:hint="eastAsia" w:ascii="黑体" w:hAnsi="黑体" w:eastAsia="黑体" w:cs="黑体"/>
          <w:b/>
          <w:bCs/>
          <w:color w:val="auto"/>
          <w:sz w:val="32"/>
          <w:szCs w:val="32"/>
          <w:lang w:val="zh-CN" w:eastAsia="zh-CN"/>
        </w:rPr>
        <w:t xml:space="preserve"> 存在的问题、原因分析及下一步整改举措</w:t>
      </w:r>
      <w:bookmarkEnd w:id="52"/>
    </w:p>
    <w:p w14:paraId="652F8A0B">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53" w:name="_Toc3472"/>
      <w:bookmarkStart w:id="54" w:name="_Toc8629"/>
      <w:r>
        <w:rPr>
          <w:rFonts w:hint="eastAsia" w:ascii="仿宋" w:hAnsi="仿宋" w:eastAsia="仿宋" w:cs="仿宋"/>
          <w:b/>
          <w:bCs/>
          <w:color w:val="auto"/>
          <w:sz w:val="28"/>
          <w:szCs w:val="28"/>
          <w:lang w:val="en-US" w:eastAsia="zh-CN"/>
        </w:rPr>
        <w:t>2.6.1存在的问题</w:t>
      </w:r>
      <w:bookmarkEnd w:id="53"/>
      <w:bookmarkEnd w:id="54"/>
    </w:p>
    <w:p w14:paraId="423CEED3">
      <w:pPr>
        <w:pageBreakBefore w:val="0"/>
        <w:kinsoku/>
        <w:wordWrap/>
        <w:overflowPunct/>
        <w:topLinePunct w:val="0"/>
        <w:autoSpaceDE w:val="0"/>
        <w:autoSpaceDN w:val="0"/>
        <w:bidi w:val="0"/>
        <w:adjustRightInd/>
        <w:snapToGrid/>
        <w:spacing w:line="500" w:lineRule="exact"/>
        <w:ind w:leftChars="0" w:firstLine="560" w:firstLineChars="200"/>
        <w:jc w:val="left"/>
        <w:textAlignment w:val="auto"/>
        <w:rPr>
          <w:rFonts w:hint="eastAsia" w:ascii="仿宋" w:hAnsi="仿宋" w:eastAsia="仿宋" w:cs="仿宋"/>
          <w:b w:val="0"/>
          <w:bCs/>
          <w:color w:val="auto"/>
          <w:sz w:val="28"/>
          <w:szCs w:val="28"/>
          <w:lang w:val="en-US" w:eastAsia="zh-CN" w:bidi="zh-CN"/>
        </w:rPr>
      </w:pPr>
      <w:r>
        <w:rPr>
          <w:rFonts w:hint="eastAsia" w:ascii="仿宋" w:hAnsi="仿宋" w:eastAsia="仿宋" w:cs="仿宋"/>
          <w:b w:val="0"/>
          <w:bCs/>
          <w:color w:val="auto"/>
          <w:sz w:val="28"/>
          <w:szCs w:val="28"/>
          <w:lang w:val="en-US" w:eastAsia="zh-CN" w:bidi="zh-CN"/>
        </w:rPr>
        <w:t>2.6.1.1教学方面</w:t>
      </w:r>
    </w:p>
    <w:p w14:paraId="2CBCD68D">
      <w:pPr>
        <w:pageBreakBefore w:val="0"/>
        <w:kinsoku/>
        <w:wordWrap/>
        <w:overflowPunct/>
        <w:topLinePunct w:val="0"/>
        <w:autoSpaceDE w:val="0"/>
        <w:autoSpaceDN w:val="0"/>
        <w:bidi w:val="0"/>
        <w:adjustRightInd/>
        <w:snapToGrid/>
        <w:spacing w:line="500" w:lineRule="exact"/>
        <w:ind w:leftChars="0" w:firstLine="560" w:firstLineChars="200"/>
        <w:jc w:val="left"/>
        <w:textAlignment w:val="auto"/>
        <w:rPr>
          <w:rFonts w:hint="eastAsia"/>
          <w:color w:val="auto"/>
        </w:rPr>
      </w:pPr>
      <w:r>
        <w:rPr>
          <w:rFonts w:hint="eastAsia"/>
          <w:color w:val="auto"/>
        </w:rPr>
        <w:t>教学方法创新不足，部分教师依赖传统教学，对现代教育技术应用不充分；实践教学与理论教学融合不够，内容和形式有待丰富。</w:t>
      </w:r>
    </w:p>
    <w:p w14:paraId="3D291EC1">
      <w:pPr>
        <w:pageBreakBefore w:val="0"/>
        <w:kinsoku/>
        <w:wordWrap/>
        <w:overflowPunct/>
        <w:topLinePunct w:val="0"/>
        <w:autoSpaceDE w:val="0"/>
        <w:autoSpaceDN w:val="0"/>
        <w:bidi w:val="0"/>
        <w:adjustRightInd/>
        <w:snapToGrid/>
        <w:spacing w:line="500" w:lineRule="exact"/>
        <w:ind w:leftChars="0" w:firstLine="560" w:firstLineChars="200"/>
        <w:jc w:val="left"/>
        <w:textAlignment w:val="auto"/>
        <w:rPr>
          <w:rFonts w:hint="eastAsia" w:ascii="仿宋" w:hAnsi="仿宋" w:eastAsia="仿宋" w:cs="仿宋"/>
          <w:b w:val="0"/>
          <w:bCs/>
          <w:color w:val="auto"/>
          <w:sz w:val="28"/>
          <w:szCs w:val="28"/>
          <w:lang w:val="en-US" w:eastAsia="zh-CN" w:bidi="zh-CN"/>
        </w:rPr>
      </w:pPr>
      <w:r>
        <w:rPr>
          <w:rFonts w:hint="eastAsia" w:ascii="仿宋" w:hAnsi="仿宋" w:eastAsia="仿宋" w:cs="仿宋"/>
          <w:b w:val="0"/>
          <w:bCs/>
          <w:color w:val="auto"/>
          <w:sz w:val="28"/>
          <w:szCs w:val="28"/>
          <w:lang w:val="en-US" w:eastAsia="zh-CN" w:bidi="zh-CN"/>
        </w:rPr>
        <w:t>2.6.1.2学生培养方面</w:t>
      </w:r>
    </w:p>
    <w:p w14:paraId="0E294B61">
      <w:pPr>
        <w:pageBreakBefore w:val="0"/>
        <w:kinsoku/>
        <w:wordWrap/>
        <w:overflowPunct/>
        <w:topLinePunct w:val="0"/>
        <w:autoSpaceDE w:val="0"/>
        <w:autoSpaceDN w:val="0"/>
        <w:bidi w:val="0"/>
        <w:adjustRightInd/>
        <w:snapToGrid/>
        <w:spacing w:line="500" w:lineRule="exact"/>
        <w:ind w:leftChars="0" w:firstLine="560" w:firstLineChars="200"/>
        <w:jc w:val="left"/>
        <w:textAlignment w:val="auto"/>
        <w:rPr>
          <w:rFonts w:hint="eastAsia" w:ascii="Times New Roman" w:hAnsi="Times New Roman" w:eastAsia="仿宋" w:cs="Times New Roman"/>
          <w:color w:val="auto"/>
          <w:spacing w:val="-11"/>
          <w:sz w:val="28"/>
          <w:szCs w:val="28"/>
        </w:rPr>
      </w:pPr>
      <w:r>
        <w:rPr>
          <w:rFonts w:hint="eastAsia"/>
          <w:color w:val="auto"/>
        </w:rPr>
        <w:t>学生创新能力和创业意识培养有待加强，参与创新创业项目积极性不高；个性化培养不够精准，无法满足学生多样化需求。</w:t>
      </w:r>
    </w:p>
    <w:p w14:paraId="7AD5D135">
      <w:pPr>
        <w:pageBreakBefore w:val="0"/>
        <w:kinsoku/>
        <w:wordWrap/>
        <w:overflowPunct/>
        <w:topLinePunct w:val="0"/>
        <w:autoSpaceDE w:val="0"/>
        <w:autoSpaceDN w:val="0"/>
        <w:bidi w:val="0"/>
        <w:adjustRightInd/>
        <w:snapToGrid/>
        <w:spacing w:line="500" w:lineRule="exact"/>
        <w:ind w:leftChars="0" w:firstLine="560" w:firstLineChars="200"/>
        <w:jc w:val="left"/>
        <w:textAlignment w:val="auto"/>
        <w:rPr>
          <w:rFonts w:hint="eastAsia" w:ascii="仿宋" w:hAnsi="仿宋" w:eastAsia="仿宋" w:cs="仿宋"/>
          <w:b w:val="0"/>
          <w:bCs/>
          <w:color w:val="auto"/>
          <w:sz w:val="28"/>
          <w:szCs w:val="28"/>
          <w:lang w:val="en-US" w:eastAsia="zh-CN" w:bidi="zh-CN"/>
        </w:rPr>
      </w:pPr>
      <w:r>
        <w:rPr>
          <w:rFonts w:hint="eastAsia" w:ascii="仿宋" w:hAnsi="仿宋" w:eastAsia="仿宋" w:cs="仿宋"/>
          <w:b w:val="0"/>
          <w:bCs/>
          <w:color w:val="auto"/>
          <w:sz w:val="28"/>
          <w:szCs w:val="28"/>
          <w:lang w:val="en-US" w:eastAsia="zh-CN" w:bidi="zh-CN"/>
        </w:rPr>
        <w:t>2.6.1.3师资队伍方面</w:t>
      </w:r>
    </w:p>
    <w:p w14:paraId="19D535DB">
      <w:pPr>
        <w:pageBreakBefore w:val="0"/>
        <w:kinsoku/>
        <w:wordWrap/>
        <w:overflowPunct/>
        <w:topLinePunct w:val="0"/>
        <w:autoSpaceDE w:val="0"/>
        <w:autoSpaceDN w:val="0"/>
        <w:bidi w:val="0"/>
        <w:adjustRightInd/>
        <w:snapToGrid/>
        <w:spacing w:line="500" w:lineRule="exact"/>
        <w:ind w:leftChars="0" w:firstLine="560" w:firstLineChars="200"/>
        <w:jc w:val="left"/>
        <w:textAlignment w:val="auto"/>
        <w:rPr>
          <w:rFonts w:hint="eastAsia"/>
          <w:color w:val="auto"/>
        </w:rPr>
      </w:pPr>
      <w:r>
        <w:rPr>
          <w:rFonts w:hint="eastAsia"/>
          <w:color w:val="auto"/>
        </w:rPr>
        <w:t>教师专业素养和教学能力参差不齐，部分教师教学科研能力有待提升；缺乏有行业经验的兼职教师，师资结构不合理。</w:t>
      </w:r>
    </w:p>
    <w:p w14:paraId="362812B3">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55" w:name="_Toc20542"/>
      <w:bookmarkStart w:id="56" w:name="_Toc19342"/>
      <w:r>
        <w:rPr>
          <w:rFonts w:hint="eastAsia" w:ascii="仿宋" w:hAnsi="仿宋" w:eastAsia="仿宋" w:cs="仿宋"/>
          <w:b/>
          <w:bCs/>
          <w:color w:val="auto"/>
          <w:sz w:val="28"/>
          <w:szCs w:val="28"/>
          <w:lang w:val="en-US" w:eastAsia="zh-CN"/>
        </w:rPr>
        <w:t>2.6.2原因分析</w:t>
      </w:r>
      <w:bookmarkEnd w:id="55"/>
      <w:bookmarkEnd w:id="56"/>
    </w:p>
    <w:p w14:paraId="5F7E60ED">
      <w:pPr>
        <w:pageBreakBefore w:val="0"/>
        <w:kinsoku/>
        <w:wordWrap/>
        <w:overflowPunct/>
        <w:topLinePunct w:val="0"/>
        <w:autoSpaceDE w:val="0"/>
        <w:autoSpaceDN w:val="0"/>
        <w:bidi w:val="0"/>
        <w:adjustRightInd/>
        <w:snapToGrid/>
        <w:spacing w:line="500" w:lineRule="exact"/>
        <w:ind w:leftChars="0" w:firstLine="560" w:firstLineChars="200"/>
        <w:jc w:val="left"/>
        <w:textAlignment w:val="auto"/>
        <w:rPr>
          <w:rFonts w:hint="eastAsia" w:ascii="仿宋" w:hAnsi="仿宋" w:eastAsia="仿宋" w:cs="仿宋"/>
          <w:b w:val="0"/>
          <w:bCs/>
          <w:color w:val="auto"/>
          <w:sz w:val="28"/>
          <w:szCs w:val="28"/>
          <w:lang w:val="en-US" w:eastAsia="zh-CN" w:bidi="zh-CN"/>
        </w:rPr>
      </w:pPr>
      <w:r>
        <w:rPr>
          <w:rFonts w:hint="eastAsia" w:ascii="仿宋" w:hAnsi="仿宋" w:eastAsia="仿宋" w:cs="仿宋"/>
          <w:b w:val="0"/>
          <w:bCs/>
          <w:color w:val="auto"/>
          <w:sz w:val="28"/>
          <w:szCs w:val="28"/>
          <w:lang w:val="en-US" w:eastAsia="zh-CN" w:bidi="zh-CN"/>
        </w:rPr>
        <w:t>2.6.2.1教学理念更新不及时</w:t>
      </w:r>
    </w:p>
    <w:p w14:paraId="25083415">
      <w:pPr>
        <w:pageBreakBefore w:val="0"/>
        <w:kinsoku/>
        <w:wordWrap/>
        <w:overflowPunct/>
        <w:topLinePunct w:val="0"/>
        <w:autoSpaceDE w:val="0"/>
        <w:autoSpaceDN w:val="0"/>
        <w:bidi w:val="0"/>
        <w:adjustRightInd/>
        <w:snapToGrid/>
        <w:spacing w:line="500" w:lineRule="exact"/>
        <w:ind w:leftChars="0" w:firstLine="560" w:firstLineChars="200"/>
        <w:jc w:val="left"/>
        <w:textAlignment w:val="auto"/>
        <w:rPr>
          <w:rFonts w:hint="eastAsia" w:ascii="Times New Roman" w:hAnsi="Times New Roman" w:eastAsia="仿宋" w:cs="Times New Roman"/>
          <w:color w:val="auto"/>
          <w:spacing w:val="-11"/>
          <w:sz w:val="28"/>
          <w:szCs w:val="28"/>
        </w:rPr>
      </w:pPr>
      <w:r>
        <w:rPr>
          <w:rFonts w:hint="eastAsia"/>
          <w:color w:val="auto"/>
        </w:rPr>
        <w:t>教学理念更新不及时：部分教师对新教学理念和方法认识不足，缺乏学习和应用积极性。</w:t>
      </w:r>
    </w:p>
    <w:p w14:paraId="64E8D192">
      <w:pPr>
        <w:pageBreakBefore w:val="0"/>
        <w:kinsoku/>
        <w:wordWrap/>
        <w:overflowPunct/>
        <w:topLinePunct w:val="0"/>
        <w:autoSpaceDE w:val="0"/>
        <w:autoSpaceDN w:val="0"/>
        <w:bidi w:val="0"/>
        <w:adjustRightInd/>
        <w:snapToGrid/>
        <w:spacing w:line="500" w:lineRule="exact"/>
        <w:ind w:leftChars="0" w:firstLine="560" w:firstLineChars="200"/>
        <w:jc w:val="left"/>
        <w:textAlignment w:val="auto"/>
        <w:rPr>
          <w:rFonts w:hint="eastAsia" w:ascii="仿宋" w:hAnsi="仿宋" w:eastAsia="仿宋" w:cs="仿宋"/>
          <w:b w:val="0"/>
          <w:bCs/>
          <w:color w:val="auto"/>
          <w:sz w:val="28"/>
          <w:szCs w:val="28"/>
          <w:lang w:val="en-US" w:eastAsia="zh-CN" w:bidi="zh-CN"/>
        </w:rPr>
      </w:pPr>
      <w:r>
        <w:rPr>
          <w:rFonts w:hint="eastAsia" w:ascii="仿宋" w:hAnsi="仿宋" w:eastAsia="仿宋" w:cs="仿宋"/>
          <w:b w:val="0"/>
          <w:bCs/>
          <w:color w:val="auto"/>
          <w:sz w:val="28"/>
          <w:szCs w:val="28"/>
          <w:lang w:val="en-US" w:eastAsia="zh-CN" w:bidi="zh-CN"/>
        </w:rPr>
        <w:t>2.6.2.2教学资源投入不足</w:t>
      </w:r>
    </w:p>
    <w:p w14:paraId="4B86C425">
      <w:pPr>
        <w:pageBreakBefore w:val="0"/>
        <w:kinsoku/>
        <w:wordWrap/>
        <w:overflowPunct/>
        <w:topLinePunct w:val="0"/>
        <w:autoSpaceDE w:val="0"/>
        <w:autoSpaceDN w:val="0"/>
        <w:bidi w:val="0"/>
        <w:adjustRightInd/>
        <w:snapToGrid/>
        <w:spacing w:line="500" w:lineRule="exact"/>
        <w:ind w:leftChars="0" w:firstLine="560" w:firstLineChars="200"/>
        <w:jc w:val="left"/>
        <w:textAlignment w:val="auto"/>
        <w:rPr>
          <w:rFonts w:hint="eastAsia"/>
          <w:color w:val="auto"/>
        </w:rPr>
      </w:pPr>
      <w:r>
        <w:rPr>
          <w:rFonts w:hint="eastAsia"/>
          <w:color w:val="auto"/>
        </w:rPr>
        <w:t>学校在实践教学设备、创新创业教育平台等方面投入有限，制约教学改革推进。</w:t>
      </w:r>
    </w:p>
    <w:p w14:paraId="4C365E85">
      <w:pPr>
        <w:pageBreakBefore w:val="0"/>
        <w:kinsoku/>
        <w:wordWrap/>
        <w:overflowPunct/>
        <w:topLinePunct w:val="0"/>
        <w:autoSpaceDE w:val="0"/>
        <w:autoSpaceDN w:val="0"/>
        <w:bidi w:val="0"/>
        <w:adjustRightInd/>
        <w:snapToGrid/>
        <w:spacing w:line="500" w:lineRule="exact"/>
        <w:ind w:leftChars="0" w:firstLine="560" w:firstLineChars="200"/>
        <w:jc w:val="left"/>
        <w:textAlignment w:val="auto"/>
        <w:rPr>
          <w:rFonts w:hint="eastAsia" w:ascii="仿宋" w:hAnsi="仿宋" w:eastAsia="仿宋" w:cs="仿宋"/>
          <w:b w:val="0"/>
          <w:bCs/>
          <w:color w:val="auto"/>
          <w:sz w:val="28"/>
          <w:szCs w:val="28"/>
          <w:lang w:val="en-US" w:eastAsia="zh-CN" w:bidi="zh-CN"/>
        </w:rPr>
      </w:pPr>
      <w:r>
        <w:rPr>
          <w:rFonts w:hint="eastAsia" w:ascii="仿宋" w:hAnsi="仿宋" w:eastAsia="仿宋" w:cs="仿宋"/>
          <w:b w:val="0"/>
          <w:bCs/>
          <w:color w:val="auto"/>
          <w:sz w:val="28"/>
          <w:szCs w:val="28"/>
          <w:lang w:val="en-US" w:eastAsia="zh-CN" w:bidi="zh-CN"/>
        </w:rPr>
        <w:t>2.6.2.3师资队伍建设机制不完善</w:t>
      </w:r>
    </w:p>
    <w:p w14:paraId="5D2DE39B">
      <w:pPr>
        <w:pageBreakBefore w:val="0"/>
        <w:kinsoku/>
        <w:wordWrap/>
        <w:overflowPunct/>
        <w:topLinePunct w:val="0"/>
        <w:autoSpaceDE w:val="0"/>
        <w:autoSpaceDN w:val="0"/>
        <w:bidi w:val="0"/>
        <w:adjustRightInd/>
        <w:snapToGrid/>
        <w:spacing w:line="500" w:lineRule="exact"/>
        <w:ind w:leftChars="0" w:firstLine="560" w:firstLineChars="200"/>
        <w:jc w:val="left"/>
        <w:textAlignment w:val="auto"/>
        <w:rPr>
          <w:rFonts w:hint="eastAsia"/>
          <w:color w:val="auto"/>
        </w:rPr>
      </w:pPr>
      <w:r>
        <w:rPr>
          <w:rFonts w:hint="eastAsia"/>
          <w:color w:val="auto"/>
        </w:rPr>
        <w:t>教师培训体系不健全，缺乏针对性和系统性；兼职教师引进和管理政策不灵活，难以吸引优秀行业人才。</w:t>
      </w:r>
    </w:p>
    <w:p w14:paraId="4DEB94A3">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57" w:name="_Toc9662"/>
      <w:bookmarkStart w:id="58" w:name="_Toc2148"/>
      <w:r>
        <w:rPr>
          <w:rFonts w:hint="eastAsia" w:ascii="仿宋" w:hAnsi="仿宋" w:eastAsia="仿宋" w:cs="仿宋"/>
          <w:b/>
          <w:bCs/>
          <w:color w:val="auto"/>
          <w:sz w:val="28"/>
          <w:szCs w:val="28"/>
          <w:lang w:val="en-US" w:eastAsia="zh-CN"/>
        </w:rPr>
        <w:t>2.6.3下一步整改举措</w:t>
      </w:r>
      <w:bookmarkEnd w:id="57"/>
      <w:bookmarkEnd w:id="58"/>
    </w:p>
    <w:p w14:paraId="0180D350">
      <w:pPr>
        <w:pageBreakBefore w:val="0"/>
        <w:kinsoku/>
        <w:wordWrap/>
        <w:overflowPunct/>
        <w:topLinePunct w:val="0"/>
        <w:autoSpaceDE w:val="0"/>
        <w:autoSpaceDN w:val="0"/>
        <w:bidi w:val="0"/>
        <w:adjustRightInd/>
        <w:snapToGrid/>
        <w:spacing w:line="500" w:lineRule="exact"/>
        <w:ind w:leftChars="0" w:firstLine="560" w:firstLineChars="200"/>
        <w:jc w:val="left"/>
        <w:textAlignment w:val="auto"/>
        <w:rPr>
          <w:rFonts w:hint="eastAsia" w:ascii="仿宋" w:hAnsi="仿宋" w:eastAsia="仿宋" w:cs="仿宋"/>
          <w:b w:val="0"/>
          <w:bCs/>
          <w:color w:val="auto"/>
          <w:sz w:val="28"/>
          <w:szCs w:val="28"/>
          <w:lang w:val="en-US" w:eastAsia="zh-CN" w:bidi="zh-CN"/>
        </w:rPr>
      </w:pPr>
      <w:r>
        <w:rPr>
          <w:rFonts w:hint="eastAsia" w:ascii="仿宋" w:hAnsi="仿宋" w:eastAsia="仿宋" w:cs="仿宋"/>
          <w:b w:val="0"/>
          <w:bCs/>
          <w:color w:val="auto"/>
          <w:sz w:val="28"/>
          <w:szCs w:val="28"/>
          <w:lang w:val="en-US" w:eastAsia="zh-CN" w:bidi="zh-CN"/>
        </w:rPr>
        <w:t>2.6.3.1教学改革与创新</w:t>
      </w:r>
    </w:p>
    <w:p w14:paraId="3AE6A238">
      <w:pPr>
        <w:pageBreakBefore w:val="0"/>
        <w:kinsoku/>
        <w:wordWrap/>
        <w:overflowPunct/>
        <w:topLinePunct w:val="0"/>
        <w:autoSpaceDE w:val="0"/>
        <w:autoSpaceDN w:val="0"/>
        <w:bidi w:val="0"/>
        <w:adjustRightInd/>
        <w:snapToGrid/>
        <w:spacing w:line="500" w:lineRule="exact"/>
        <w:ind w:leftChars="0" w:firstLine="560" w:firstLineChars="200"/>
        <w:jc w:val="left"/>
        <w:textAlignment w:val="auto"/>
        <w:rPr>
          <w:rFonts w:hint="eastAsia"/>
          <w:color w:val="auto"/>
        </w:rPr>
      </w:pPr>
      <w:r>
        <w:rPr>
          <w:rFonts w:hint="eastAsia"/>
          <w:color w:val="auto"/>
        </w:rPr>
        <w:t>加强教师培训，组织参加教学方法培训和改革研讨活动，鼓励应用现代教育技术创新教学；优化实践教学体系，增加比重和内容，丰富形式和方法，加强与理论教学融合。</w:t>
      </w:r>
    </w:p>
    <w:p w14:paraId="7688A8E0">
      <w:pPr>
        <w:pageBreakBefore w:val="0"/>
        <w:kinsoku/>
        <w:wordWrap/>
        <w:overflowPunct/>
        <w:topLinePunct w:val="0"/>
        <w:autoSpaceDE w:val="0"/>
        <w:autoSpaceDN w:val="0"/>
        <w:bidi w:val="0"/>
        <w:adjustRightInd/>
        <w:snapToGrid/>
        <w:spacing w:line="500" w:lineRule="exact"/>
        <w:ind w:leftChars="0" w:firstLine="560" w:firstLineChars="200"/>
        <w:jc w:val="left"/>
        <w:textAlignment w:val="auto"/>
        <w:rPr>
          <w:rFonts w:hint="eastAsia" w:ascii="仿宋" w:hAnsi="仿宋" w:eastAsia="仿宋" w:cs="仿宋"/>
          <w:b w:val="0"/>
          <w:bCs/>
          <w:color w:val="auto"/>
          <w:sz w:val="28"/>
          <w:szCs w:val="28"/>
          <w:lang w:val="en-US" w:eastAsia="zh-CN" w:bidi="zh-CN"/>
        </w:rPr>
      </w:pPr>
      <w:r>
        <w:rPr>
          <w:rFonts w:hint="eastAsia" w:ascii="仿宋" w:hAnsi="仿宋" w:eastAsia="仿宋" w:cs="仿宋"/>
          <w:b w:val="0"/>
          <w:bCs/>
          <w:color w:val="auto"/>
          <w:sz w:val="28"/>
          <w:szCs w:val="28"/>
          <w:lang w:val="en-US" w:eastAsia="zh-CN" w:bidi="zh-CN"/>
        </w:rPr>
        <w:t>2.6.3.2学生培养优化</w:t>
      </w:r>
    </w:p>
    <w:p w14:paraId="72CDC104">
      <w:pPr>
        <w:pageBreakBefore w:val="0"/>
        <w:kinsoku/>
        <w:wordWrap/>
        <w:overflowPunct/>
        <w:topLinePunct w:val="0"/>
        <w:autoSpaceDE w:val="0"/>
        <w:autoSpaceDN w:val="0"/>
        <w:bidi w:val="0"/>
        <w:adjustRightInd/>
        <w:snapToGrid/>
        <w:spacing w:line="500" w:lineRule="exact"/>
        <w:ind w:leftChars="0" w:firstLine="560" w:firstLineChars="200"/>
        <w:jc w:val="left"/>
        <w:textAlignment w:val="auto"/>
        <w:rPr>
          <w:rFonts w:hint="eastAsia" w:ascii="Times New Roman" w:hAnsi="Times New Roman" w:eastAsia="仿宋" w:cs="Times New Roman"/>
          <w:color w:val="auto"/>
          <w:spacing w:val="-11"/>
          <w:sz w:val="28"/>
          <w:szCs w:val="28"/>
        </w:rPr>
      </w:pPr>
      <w:r>
        <w:rPr>
          <w:rFonts w:hint="eastAsia"/>
          <w:color w:val="auto"/>
        </w:rPr>
        <w:t>加强创新创业教育，完善课程体系，建立实践平台，提供更多机会和资源；深化个性化培养，建立学生发展档案，制定个性化培养方案。</w:t>
      </w:r>
    </w:p>
    <w:p w14:paraId="38FA8C71">
      <w:pPr>
        <w:pageBreakBefore w:val="0"/>
        <w:kinsoku/>
        <w:wordWrap/>
        <w:overflowPunct/>
        <w:topLinePunct w:val="0"/>
        <w:autoSpaceDE w:val="0"/>
        <w:autoSpaceDN w:val="0"/>
        <w:bidi w:val="0"/>
        <w:adjustRightInd/>
        <w:snapToGrid/>
        <w:spacing w:line="500" w:lineRule="exact"/>
        <w:ind w:leftChars="0" w:firstLine="560" w:firstLineChars="200"/>
        <w:jc w:val="left"/>
        <w:textAlignment w:val="auto"/>
        <w:rPr>
          <w:rFonts w:hint="eastAsia" w:ascii="仿宋" w:hAnsi="仿宋" w:eastAsia="仿宋" w:cs="仿宋"/>
          <w:b w:val="0"/>
          <w:bCs/>
          <w:color w:val="auto"/>
          <w:sz w:val="28"/>
          <w:szCs w:val="28"/>
          <w:lang w:val="en-US" w:eastAsia="zh-CN" w:bidi="zh-CN"/>
        </w:rPr>
      </w:pPr>
      <w:r>
        <w:rPr>
          <w:rFonts w:hint="eastAsia" w:ascii="仿宋" w:hAnsi="仿宋" w:eastAsia="仿宋" w:cs="仿宋"/>
          <w:b w:val="0"/>
          <w:bCs/>
          <w:color w:val="auto"/>
          <w:sz w:val="28"/>
          <w:szCs w:val="28"/>
          <w:lang w:val="en-US" w:eastAsia="zh-CN" w:bidi="zh-CN"/>
        </w:rPr>
        <w:t>2.6.3.3师资队伍建设加强</w:t>
      </w:r>
    </w:p>
    <w:p w14:paraId="11D354E0">
      <w:pPr>
        <w:pageBreakBefore w:val="0"/>
        <w:kinsoku/>
        <w:wordWrap/>
        <w:overflowPunct/>
        <w:topLinePunct w:val="0"/>
        <w:autoSpaceDE w:val="0"/>
        <w:autoSpaceDN w:val="0"/>
        <w:bidi w:val="0"/>
        <w:adjustRightInd/>
        <w:snapToGrid/>
        <w:spacing w:line="500" w:lineRule="exact"/>
        <w:ind w:leftChars="0" w:firstLine="560" w:firstLineChars="200"/>
        <w:jc w:val="left"/>
        <w:textAlignment w:val="auto"/>
        <w:rPr>
          <w:color w:val="auto"/>
        </w:rPr>
      </w:pPr>
      <w:r>
        <w:rPr>
          <w:rFonts w:hint="eastAsia"/>
          <w:color w:val="auto"/>
        </w:rPr>
        <w:t>制定教师专业发展规划，培养教学科研能力，鼓励参加学术交流和科研项目；完善兼职教师引进和管理机制，拓宽渠道，提高待遇和地位，吸引优秀行业人才。</w:t>
      </w:r>
    </w:p>
    <w:p w14:paraId="63E7083F">
      <w:pPr>
        <w:pageBreakBefore w:val="0"/>
        <w:kinsoku/>
        <w:wordWrap/>
        <w:overflowPunct/>
        <w:topLinePunct w:val="0"/>
        <w:autoSpaceDE w:val="0"/>
        <w:autoSpaceDN w:val="0"/>
        <w:bidi w:val="0"/>
        <w:adjustRightInd/>
        <w:snapToGrid/>
        <w:spacing w:line="500" w:lineRule="exact"/>
        <w:ind w:leftChars="0" w:firstLine="516" w:firstLineChars="200"/>
        <w:jc w:val="left"/>
        <w:textAlignment w:val="auto"/>
        <w:rPr>
          <w:rFonts w:hint="eastAsia" w:ascii="Times New Roman" w:hAnsi="Times New Roman" w:eastAsia="仿宋" w:cs="Times New Roman"/>
          <w:color w:val="auto"/>
          <w:spacing w:val="-11"/>
          <w:sz w:val="28"/>
          <w:szCs w:val="28"/>
        </w:rPr>
      </w:pPr>
    </w:p>
    <w:p w14:paraId="1817D843">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eastAsia" w:ascii="黑体" w:hAnsi="黑体" w:eastAsia="黑体" w:cs="黑体"/>
          <w:b/>
          <w:bCs/>
          <w:color w:val="auto"/>
          <w:sz w:val="32"/>
          <w:szCs w:val="32"/>
          <w:lang w:val="en-US" w:eastAsia="zh-CN"/>
        </w:rPr>
      </w:pPr>
      <w:bookmarkStart w:id="59" w:name="_Toc11365"/>
      <w:r>
        <w:rPr>
          <w:rFonts w:hint="eastAsia" w:ascii="黑体" w:hAnsi="黑体" w:eastAsia="黑体" w:cs="黑体"/>
          <w:b/>
          <w:bCs/>
          <w:color w:val="auto"/>
          <w:sz w:val="32"/>
          <w:szCs w:val="32"/>
          <w:lang w:val="en-US" w:eastAsia="zh-CN"/>
        </w:rPr>
        <w:t>3.教学资源与利用</w:t>
      </w:r>
      <w:bookmarkEnd w:id="59"/>
    </w:p>
    <w:p w14:paraId="365F7B4E">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default" w:ascii="黑体" w:hAnsi="黑体" w:eastAsia="黑体" w:cs="黑体"/>
          <w:b/>
          <w:bCs/>
          <w:color w:val="auto"/>
          <w:sz w:val="32"/>
          <w:szCs w:val="32"/>
          <w:lang w:val="en-US" w:eastAsia="zh-CN"/>
        </w:rPr>
      </w:pPr>
      <w:bookmarkStart w:id="60" w:name="_Toc9149"/>
      <w:r>
        <w:rPr>
          <w:rFonts w:hint="eastAsia" w:ascii="黑体" w:hAnsi="黑体" w:eastAsia="黑体" w:cs="黑体"/>
          <w:b/>
          <w:bCs/>
          <w:color w:val="auto"/>
          <w:sz w:val="32"/>
          <w:szCs w:val="32"/>
          <w:lang w:val="en-US" w:eastAsia="zh-CN"/>
        </w:rPr>
        <w:t>3.1 设施条件</w:t>
      </w:r>
      <w:bookmarkEnd w:id="60"/>
    </w:p>
    <w:p w14:paraId="41EE82B1">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61" w:name="_Toc31484"/>
      <w:bookmarkStart w:id="62" w:name="_Toc30601"/>
      <w:r>
        <w:rPr>
          <w:rFonts w:hint="eastAsia" w:ascii="仿宋" w:hAnsi="仿宋" w:eastAsia="仿宋" w:cs="仿宋"/>
          <w:b/>
          <w:bCs/>
          <w:color w:val="auto"/>
          <w:sz w:val="28"/>
          <w:szCs w:val="28"/>
          <w:lang w:val="en-US" w:eastAsia="zh-CN"/>
        </w:rPr>
        <w:t>3.1.1教学经费管理和使用规范，教学经费、图书资料等满足教学要求，经费年度预算执行率≥90%</w:t>
      </w:r>
      <w:bookmarkEnd w:id="61"/>
      <w:bookmarkEnd w:id="62"/>
    </w:p>
    <w:p w14:paraId="52A8BAAE">
      <w:pPr>
        <w:pageBreakBefore w:val="0"/>
        <w:kinsoku/>
        <w:wordWrap/>
        <w:overflowPunct/>
        <w:topLinePunct w:val="0"/>
        <w:autoSpaceDE w:val="0"/>
        <w:autoSpaceDN w:val="0"/>
        <w:bidi w:val="0"/>
        <w:adjustRightInd/>
        <w:snapToGrid/>
        <w:spacing w:line="500" w:lineRule="exact"/>
        <w:ind w:leftChars="0" w:firstLine="560" w:firstLineChars="200"/>
        <w:jc w:val="left"/>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体育部在教学经费管理和使用规范方面，始终坚持党的全面领导，依法治教、依法办学、依法治校的原则，确保教学经费、图书资料等满足教学要求，实现了经费年度预算执行率每年不低于95%。首先，在教学经费管理方面，体育部严格执行学校的财务管理制度，确保每一笔经费的使用都符合规定，合理分配，有效监督。根据学校预算，学校每年对体育部的经费投入给予了较好保障，这为体育教学和活动的顺利开展提供了坚实的物质基础。体育部严格按照预算执行，确保资金主要用于教学设施的改善、教学资源的更新、教师培训以及学生体育活动的开展，从而提高了教学条件和教学质量。其次，在教学资源配置方面，体育部注重资源的优化和更新。体育部逐步配齐体育器材设施，切实落实体育室器材出借登记、管理制度，使教学条件逐年改善。此外，体育部还重视图书资料的配备，通过图书馆采购与体育相关的图书、期刊和电子资源，为师生提供了丰富的学习资源。最后，在年度预算执行方面，体育部通过科学管理和合理规划，确保了预算的高效执行。通过加强内部控制和审计，体育部对预算执行情况进行了严格监督，确保了经费使用的合规性和有效性。同时，体育部还建立了预算执行与绩效考核相结合的机制，将预算执行情况与部门及个人的工作业绩挂钩，激励全体教职工积极参与预算管理和执行，从而提高了预算执行率。</w:t>
      </w:r>
    </w:p>
    <w:p w14:paraId="409B27FE">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63" w:name="_Toc24540"/>
      <w:bookmarkStart w:id="64" w:name="_Toc30788"/>
      <w:r>
        <w:rPr>
          <w:rFonts w:hint="eastAsia" w:ascii="仿宋" w:hAnsi="仿宋" w:eastAsia="仿宋" w:cs="仿宋"/>
          <w:b/>
          <w:bCs/>
          <w:color w:val="auto"/>
          <w:sz w:val="28"/>
          <w:szCs w:val="28"/>
          <w:lang w:val="en-US" w:eastAsia="zh-CN"/>
        </w:rPr>
        <w:t>3.1.2实训室、运动场所及其设施条件满足教学要求、利用率高</w:t>
      </w:r>
      <w:bookmarkEnd w:id="63"/>
      <w:bookmarkEnd w:id="64"/>
    </w:p>
    <w:p w14:paraId="7AD8D7D8">
      <w:pPr>
        <w:pageBreakBefore w:val="0"/>
        <w:kinsoku/>
        <w:wordWrap/>
        <w:overflowPunct/>
        <w:topLinePunct w:val="0"/>
        <w:autoSpaceDE w:val="0"/>
        <w:autoSpaceDN w:val="0"/>
        <w:bidi w:val="0"/>
        <w:adjustRightInd/>
        <w:snapToGrid/>
        <w:spacing w:line="500" w:lineRule="exact"/>
        <w:ind w:leftChars="0" w:firstLine="560" w:firstLineChars="200"/>
        <w:jc w:val="left"/>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体育部在实训室和运动场所及其设施条件方面，始终致力于满足教学要求并保持高利用率，以支持高质量的体育教学和训练。体育部拥有先进的教学设施和充足的运动场地，这些资源为学生提供了良好的学习和锻炼环境。体育部拥有1座7500多平方米的大型综合多功能体育馆、拥有高规格的400米标准塑胶田径场一个、拥有高规格健美操训练室、形体训练室、体育舞蹈训练室、艺术体操训练室、体操训练室、健身训练室、乒乓球训练室、羽毛球训练室、室内风雨运动场，另外还有室外篮球场、排球场、网球场、单双杠区等（见下表）。</w:t>
      </w:r>
    </w:p>
    <w:p w14:paraId="37A4B861">
      <w:pPr>
        <w:pageBreakBefore w:val="0"/>
        <w:kinsoku/>
        <w:wordWrap/>
        <w:overflowPunct/>
        <w:autoSpaceDE w:val="0"/>
        <w:autoSpaceDN w:val="0"/>
        <w:bidi w:val="0"/>
        <w:spacing w:line="317" w:lineRule="auto"/>
        <w:ind w:left="0" w:leftChars="0" w:firstLine="0" w:firstLineChars="0"/>
        <w:jc w:val="center"/>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体育场地情况（单位：万平方米）</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5"/>
        <w:gridCol w:w="1636"/>
        <w:gridCol w:w="1636"/>
        <w:gridCol w:w="1791"/>
        <w:gridCol w:w="1808"/>
      </w:tblGrid>
      <w:tr w14:paraId="187E5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635" w:type="dxa"/>
            <w:noWrap w:val="0"/>
            <w:vAlign w:val="center"/>
          </w:tcPr>
          <w:p w14:paraId="7450CD68">
            <w:pPr>
              <w:keepNext w:val="0"/>
              <w:keepLines w:val="0"/>
              <w:pageBreakBefore w:val="0"/>
              <w:widowControl w:val="0"/>
              <w:kinsoku/>
              <w:wordWrap/>
              <w:overflowPunct/>
              <w:topLinePunct w:val="0"/>
              <w:autoSpaceDE w:val="0"/>
              <w:autoSpaceDN w:val="0"/>
              <w:bidi w:val="0"/>
              <w:adjustRightInd/>
              <w:snapToGrid/>
              <w:spacing w:line="317" w:lineRule="auto"/>
              <w:ind w:firstLine="0" w:firstLineChars="0"/>
              <w:jc w:val="center"/>
              <w:textAlignment w:val="auto"/>
              <w:rPr>
                <w:rFonts w:hint="eastAsia" w:ascii="仿宋" w:hAnsi="仿宋" w:eastAsia="仿宋" w:cs="仿宋"/>
                <w:b w:val="0"/>
                <w:color w:val="auto"/>
                <w:kern w:val="0"/>
                <w:sz w:val="22"/>
                <w:szCs w:val="22"/>
                <w:u w:val="none"/>
                <w:lang w:val="en-US" w:eastAsia="zh-CN" w:bidi="zh-CN"/>
              </w:rPr>
            </w:pPr>
            <w:r>
              <w:rPr>
                <w:rFonts w:hint="eastAsia" w:ascii="仿宋" w:hAnsi="仿宋" w:eastAsia="仿宋" w:cs="仿宋"/>
                <w:b w:val="0"/>
                <w:color w:val="auto"/>
                <w:kern w:val="0"/>
                <w:sz w:val="22"/>
                <w:szCs w:val="22"/>
                <w:u w:val="none"/>
                <w:lang w:val="en-US" w:eastAsia="zh-CN" w:bidi="zh-CN"/>
              </w:rPr>
              <w:t>运动场地</w:t>
            </w:r>
          </w:p>
          <w:p w14:paraId="34635BC3">
            <w:pPr>
              <w:keepNext w:val="0"/>
              <w:keepLines w:val="0"/>
              <w:pageBreakBefore w:val="0"/>
              <w:widowControl w:val="0"/>
              <w:kinsoku/>
              <w:wordWrap/>
              <w:overflowPunct/>
              <w:topLinePunct w:val="0"/>
              <w:autoSpaceDE w:val="0"/>
              <w:autoSpaceDN w:val="0"/>
              <w:bidi w:val="0"/>
              <w:adjustRightInd/>
              <w:snapToGrid/>
              <w:spacing w:line="317" w:lineRule="auto"/>
              <w:ind w:firstLine="0" w:firstLineChars="0"/>
              <w:jc w:val="center"/>
              <w:textAlignment w:val="auto"/>
              <w:rPr>
                <w:rFonts w:hint="eastAsia" w:ascii="仿宋" w:hAnsi="仿宋" w:eastAsia="仿宋" w:cs="仿宋"/>
                <w:b w:val="0"/>
                <w:color w:val="auto"/>
                <w:kern w:val="0"/>
                <w:sz w:val="22"/>
                <w:szCs w:val="22"/>
                <w:u w:val="none"/>
                <w:lang w:val="en-US" w:eastAsia="zh-CN" w:bidi="zh-CN"/>
              </w:rPr>
            </w:pPr>
            <w:r>
              <w:rPr>
                <w:rFonts w:hint="eastAsia" w:ascii="仿宋" w:hAnsi="仿宋" w:eastAsia="仿宋" w:cs="仿宋"/>
                <w:b w:val="0"/>
                <w:color w:val="auto"/>
                <w:kern w:val="0"/>
                <w:sz w:val="22"/>
                <w:szCs w:val="22"/>
                <w:u w:val="none"/>
                <w:lang w:val="en-US" w:eastAsia="zh-CN" w:bidi="zh-CN"/>
              </w:rPr>
              <w:t>总面积（㎡）</w:t>
            </w:r>
          </w:p>
        </w:tc>
        <w:tc>
          <w:tcPr>
            <w:tcW w:w="1636" w:type="dxa"/>
            <w:noWrap w:val="0"/>
            <w:vAlign w:val="center"/>
          </w:tcPr>
          <w:p w14:paraId="01A23923">
            <w:pPr>
              <w:keepNext w:val="0"/>
              <w:keepLines w:val="0"/>
              <w:pageBreakBefore w:val="0"/>
              <w:widowControl w:val="0"/>
              <w:kinsoku/>
              <w:wordWrap/>
              <w:overflowPunct/>
              <w:topLinePunct w:val="0"/>
              <w:autoSpaceDE w:val="0"/>
              <w:autoSpaceDN w:val="0"/>
              <w:bidi w:val="0"/>
              <w:adjustRightInd/>
              <w:snapToGrid/>
              <w:spacing w:line="317" w:lineRule="auto"/>
              <w:ind w:firstLine="0" w:firstLineChars="0"/>
              <w:jc w:val="center"/>
              <w:textAlignment w:val="auto"/>
              <w:rPr>
                <w:rFonts w:hint="eastAsia" w:ascii="仿宋" w:hAnsi="仿宋" w:eastAsia="仿宋" w:cs="仿宋"/>
                <w:b w:val="0"/>
                <w:color w:val="auto"/>
                <w:kern w:val="0"/>
                <w:sz w:val="22"/>
                <w:szCs w:val="22"/>
                <w:u w:val="none"/>
                <w:lang w:val="en-US" w:eastAsia="zh-CN" w:bidi="zh-CN"/>
              </w:rPr>
            </w:pPr>
            <w:r>
              <w:rPr>
                <w:rFonts w:hint="eastAsia" w:ascii="仿宋" w:hAnsi="仿宋" w:eastAsia="仿宋" w:cs="仿宋"/>
                <w:b w:val="0"/>
                <w:color w:val="auto"/>
                <w:kern w:val="0"/>
                <w:sz w:val="22"/>
                <w:szCs w:val="22"/>
                <w:u w:val="none"/>
                <w:lang w:val="en-US" w:eastAsia="zh-CN" w:bidi="zh-CN"/>
              </w:rPr>
              <w:t>室内场</w:t>
            </w:r>
          </w:p>
          <w:p w14:paraId="3DC227B7">
            <w:pPr>
              <w:keepNext w:val="0"/>
              <w:keepLines w:val="0"/>
              <w:pageBreakBefore w:val="0"/>
              <w:widowControl w:val="0"/>
              <w:kinsoku/>
              <w:wordWrap/>
              <w:overflowPunct/>
              <w:topLinePunct w:val="0"/>
              <w:autoSpaceDE w:val="0"/>
              <w:autoSpaceDN w:val="0"/>
              <w:bidi w:val="0"/>
              <w:adjustRightInd/>
              <w:snapToGrid/>
              <w:spacing w:line="317" w:lineRule="auto"/>
              <w:ind w:firstLine="0" w:firstLineChars="0"/>
              <w:jc w:val="center"/>
              <w:textAlignment w:val="auto"/>
              <w:rPr>
                <w:rFonts w:hint="eastAsia" w:ascii="仿宋" w:hAnsi="仿宋" w:eastAsia="仿宋" w:cs="仿宋"/>
                <w:b w:val="0"/>
                <w:color w:val="auto"/>
                <w:kern w:val="0"/>
                <w:sz w:val="22"/>
                <w:szCs w:val="22"/>
                <w:u w:val="none"/>
                <w:lang w:val="en-US" w:eastAsia="zh-CN" w:bidi="zh-CN"/>
              </w:rPr>
            </w:pPr>
            <w:r>
              <w:rPr>
                <w:rFonts w:hint="eastAsia" w:ascii="仿宋" w:hAnsi="仿宋" w:eastAsia="仿宋" w:cs="仿宋"/>
                <w:b w:val="0"/>
                <w:color w:val="auto"/>
                <w:kern w:val="0"/>
                <w:sz w:val="22"/>
                <w:szCs w:val="22"/>
                <w:u w:val="none"/>
                <w:lang w:val="en-US" w:eastAsia="zh-CN" w:bidi="zh-CN"/>
              </w:rPr>
              <w:t>地面积（㎡）</w:t>
            </w:r>
          </w:p>
        </w:tc>
        <w:tc>
          <w:tcPr>
            <w:tcW w:w="1636" w:type="dxa"/>
            <w:noWrap w:val="0"/>
            <w:vAlign w:val="center"/>
          </w:tcPr>
          <w:p w14:paraId="7D72A597">
            <w:pPr>
              <w:keepNext w:val="0"/>
              <w:keepLines w:val="0"/>
              <w:pageBreakBefore w:val="0"/>
              <w:widowControl w:val="0"/>
              <w:kinsoku/>
              <w:wordWrap/>
              <w:overflowPunct/>
              <w:topLinePunct w:val="0"/>
              <w:autoSpaceDE w:val="0"/>
              <w:autoSpaceDN w:val="0"/>
              <w:bidi w:val="0"/>
              <w:adjustRightInd/>
              <w:snapToGrid/>
              <w:spacing w:line="317" w:lineRule="auto"/>
              <w:ind w:firstLine="0" w:firstLineChars="0"/>
              <w:jc w:val="center"/>
              <w:textAlignment w:val="auto"/>
              <w:rPr>
                <w:rFonts w:hint="eastAsia" w:ascii="仿宋" w:hAnsi="仿宋" w:eastAsia="仿宋" w:cs="仿宋"/>
                <w:b w:val="0"/>
                <w:color w:val="auto"/>
                <w:kern w:val="0"/>
                <w:sz w:val="22"/>
                <w:szCs w:val="22"/>
                <w:u w:val="none"/>
                <w:lang w:val="en-US" w:eastAsia="zh-CN" w:bidi="zh-CN"/>
              </w:rPr>
            </w:pPr>
            <w:r>
              <w:rPr>
                <w:rFonts w:hint="eastAsia" w:ascii="仿宋" w:hAnsi="仿宋" w:eastAsia="仿宋" w:cs="仿宋"/>
                <w:b w:val="0"/>
                <w:color w:val="auto"/>
                <w:kern w:val="0"/>
                <w:sz w:val="22"/>
                <w:szCs w:val="22"/>
                <w:u w:val="none"/>
                <w:lang w:val="en-US" w:eastAsia="zh-CN" w:bidi="zh-CN"/>
              </w:rPr>
              <w:t>室外场</w:t>
            </w:r>
          </w:p>
          <w:p w14:paraId="2D1F6676">
            <w:pPr>
              <w:keepNext w:val="0"/>
              <w:keepLines w:val="0"/>
              <w:pageBreakBefore w:val="0"/>
              <w:widowControl w:val="0"/>
              <w:kinsoku/>
              <w:wordWrap/>
              <w:overflowPunct/>
              <w:topLinePunct w:val="0"/>
              <w:autoSpaceDE w:val="0"/>
              <w:autoSpaceDN w:val="0"/>
              <w:bidi w:val="0"/>
              <w:adjustRightInd/>
              <w:snapToGrid/>
              <w:spacing w:line="317" w:lineRule="auto"/>
              <w:ind w:firstLine="0" w:firstLineChars="0"/>
              <w:jc w:val="center"/>
              <w:textAlignment w:val="auto"/>
              <w:rPr>
                <w:rFonts w:hint="eastAsia" w:ascii="仿宋" w:hAnsi="仿宋" w:eastAsia="仿宋" w:cs="仿宋"/>
                <w:b w:val="0"/>
                <w:color w:val="auto"/>
                <w:kern w:val="0"/>
                <w:sz w:val="22"/>
                <w:szCs w:val="22"/>
                <w:u w:val="none"/>
                <w:lang w:val="en-US" w:eastAsia="zh-CN" w:bidi="zh-CN"/>
              </w:rPr>
            </w:pPr>
            <w:r>
              <w:rPr>
                <w:rFonts w:hint="eastAsia" w:ascii="仿宋" w:hAnsi="仿宋" w:eastAsia="仿宋" w:cs="仿宋"/>
                <w:b w:val="0"/>
                <w:color w:val="auto"/>
                <w:kern w:val="0"/>
                <w:sz w:val="22"/>
                <w:szCs w:val="22"/>
                <w:u w:val="none"/>
                <w:lang w:val="en-US" w:eastAsia="zh-CN" w:bidi="zh-CN"/>
              </w:rPr>
              <w:t>地面积（㎡）</w:t>
            </w:r>
          </w:p>
        </w:tc>
        <w:tc>
          <w:tcPr>
            <w:tcW w:w="1791" w:type="dxa"/>
            <w:noWrap w:val="0"/>
            <w:vAlign w:val="center"/>
          </w:tcPr>
          <w:p w14:paraId="0A8F1E22">
            <w:pPr>
              <w:keepNext w:val="0"/>
              <w:keepLines w:val="0"/>
              <w:pageBreakBefore w:val="0"/>
              <w:widowControl w:val="0"/>
              <w:kinsoku/>
              <w:wordWrap/>
              <w:overflowPunct/>
              <w:topLinePunct w:val="0"/>
              <w:autoSpaceDE w:val="0"/>
              <w:autoSpaceDN w:val="0"/>
              <w:bidi w:val="0"/>
              <w:adjustRightInd/>
              <w:snapToGrid/>
              <w:spacing w:line="317" w:lineRule="auto"/>
              <w:ind w:firstLine="0" w:firstLineChars="0"/>
              <w:jc w:val="center"/>
              <w:textAlignment w:val="auto"/>
              <w:rPr>
                <w:rFonts w:hint="eastAsia" w:ascii="仿宋" w:hAnsi="仿宋" w:eastAsia="仿宋" w:cs="仿宋"/>
                <w:b w:val="0"/>
                <w:color w:val="auto"/>
                <w:kern w:val="0"/>
                <w:sz w:val="22"/>
                <w:szCs w:val="22"/>
                <w:u w:val="none"/>
                <w:lang w:val="en-US" w:eastAsia="zh-CN" w:bidi="zh-CN"/>
              </w:rPr>
            </w:pPr>
            <w:r>
              <w:rPr>
                <w:rFonts w:hint="eastAsia" w:ascii="仿宋" w:hAnsi="仿宋" w:eastAsia="仿宋" w:cs="仿宋"/>
                <w:b w:val="0"/>
                <w:color w:val="auto"/>
                <w:kern w:val="0"/>
                <w:sz w:val="22"/>
                <w:szCs w:val="22"/>
                <w:u w:val="none"/>
                <w:lang w:val="en-US" w:eastAsia="zh-CN" w:bidi="zh-CN"/>
              </w:rPr>
              <w:t>室内</w:t>
            </w:r>
          </w:p>
          <w:p w14:paraId="2D256E79">
            <w:pPr>
              <w:keepNext w:val="0"/>
              <w:keepLines w:val="0"/>
              <w:pageBreakBefore w:val="0"/>
              <w:widowControl w:val="0"/>
              <w:kinsoku/>
              <w:wordWrap/>
              <w:overflowPunct/>
              <w:topLinePunct w:val="0"/>
              <w:autoSpaceDE w:val="0"/>
              <w:autoSpaceDN w:val="0"/>
              <w:bidi w:val="0"/>
              <w:adjustRightInd/>
              <w:snapToGrid/>
              <w:spacing w:line="317" w:lineRule="auto"/>
              <w:ind w:firstLine="0" w:firstLineChars="0"/>
              <w:jc w:val="center"/>
              <w:textAlignment w:val="auto"/>
              <w:rPr>
                <w:rFonts w:hint="eastAsia" w:ascii="仿宋" w:hAnsi="仿宋" w:eastAsia="仿宋" w:cs="仿宋"/>
                <w:b w:val="0"/>
                <w:color w:val="auto"/>
                <w:kern w:val="0"/>
                <w:sz w:val="22"/>
                <w:szCs w:val="22"/>
                <w:u w:val="none"/>
                <w:lang w:val="en-US" w:eastAsia="zh-CN" w:bidi="zh-CN"/>
              </w:rPr>
            </w:pPr>
            <w:r>
              <w:rPr>
                <w:rFonts w:hint="eastAsia" w:ascii="仿宋" w:hAnsi="仿宋" w:eastAsia="仿宋" w:cs="仿宋"/>
                <w:b w:val="0"/>
                <w:color w:val="auto"/>
                <w:kern w:val="0"/>
                <w:sz w:val="22"/>
                <w:szCs w:val="22"/>
                <w:u w:val="none"/>
                <w:lang w:val="en-US" w:eastAsia="zh-CN" w:bidi="zh-CN"/>
              </w:rPr>
              <w:t>生均面积（㎡）</w:t>
            </w:r>
          </w:p>
        </w:tc>
        <w:tc>
          <w:tcPr>
            <w:tcW w:w="1808" w:type="dxa"/>
            <w:noWrap w:val="0"/>
            <w:vAlign w:val="center"/>
          </w:tcPr>
          <w:p w14:paraId="512970C0">
            <w:pPr>
              <w:keepNext w:val="0"/>
              <w:keepLines w:val="0"/>
              <w:pageBreakBefore w:val="0"/>
              <w:widowControl w:val="0"/>
              <w:kinsoku/>
              <w:wordWrap/>
              <w:overflowPunct/>
              <w:topLinePunct w:val="0"/>
              <w:autoSpaceDE w:val="0"/>
              <w:autoSpaceDN w:val="0"/>
              <w:bidi w:val="0"/>
              <w:adjustRightInd/>
              <w:snapToGrid/>
              <w:spacing w:line="317" w:lineRule="auto"/>
              <w:ind w:firstLine="0" w:firstLineChars="0"/>
              <w:jc w:val="center"/>
              <w:textAlignment w:val="auto"/>
              <w:rPr>
                <w:rFonts w:hint="eastAsia" w:ascii="仿宋" w:hAnsi="仿宋" w:eastAsia="仿宋" w:cs="仿宋"/>
                <w:b w:val="0"/>
                <w:color w:val="auto"/>
                <w:kern w:val="0"/>
                <w:sz w:val="22"/>
                <w:szCs w:val="22"/>
                <w:u w:val="none"/>
                <w:lang w:val="en-US" w:eastAsia="zh-CN" w:bidi="zh-CN"/>
              </w:rPr>
            </w:pPr>
            <w:r>
              <w:rPr>
                <w:rFonts w:hint="eastAsia" w:ascii="仿宋" w:hAnsi="仿宋" w:eastAsia="仿宋" w:cs="仿宋"/>
                <w:b w:val="0"/>
                <w:color w:val="auto"/>
                <w:kern w:val="0"/>
                <w:sz w:val="22"/>
                <w:szCs w:val="22"/>
                <w:u w:val="none"/>
                <w:lang w:val="en-US" w:eastAsia="zh-CN" w:bidi="zh-CN"/>
              </w:rPr>
              <w:t>室外</w:t>
            </w:r>
          </w:p>
          <w:p w14:paraId="099D967C">
            <w:pPr>
              <w:keepNext w:val="0"/>
              <w:keepLines w:val="0"/>
              <w:pageBreakBefore w:val="0"/>
              <w:widowControl w:val="0"/>
              <w:kinsoku/>
              <w:wordWrap/>
              <w:overflowPunct/>
              <w:topLinePunct w:val="0"/>
              <w:autoSpaceDE w:val="0"/>
              <w:autoSpaceDN w:val="0"/>
              <w:bidi w:val="0"/>
              <w:adjustRightInd/>
              <w:snapToGrid/>
              <w:spacing w:line="317" w:lineRule="auto"/>
              <w:ind w:firstLine="0" w:firstLineChars="0"/>
              <w:jc w:val="center"/>
              <w:textAlignment w:val="auto"/>
              <w:rPr>
                <w:rFonts w:hint="eastAsia" w:ascii="仿宋" w:hAnsi="仿宋" w:eastAsia="仿宋" w:cs="仿宋"/>
                <w:b w:val="0"/>
                <w:color w:val="auto"/>
                <w:kern w:val="0"/>
                <w:sz w:val="22"/>
                <w:szCs w:val="22"/>
                <w:u w:val="none"/>
                <w:lang w:val="en-US" w:eastAsia="zh-CN" w:bidi="zh-CN"/>
              </w:rPr>
            </w:pPr>
            <w:r>
              <w:rPr>
                <w:rFonts w:hint="eastAsia" w:ascii="仿宋" w:hAnsi="仿宋" w:eastAsia="仿宋" w:cs="仿宋"/>
                <w:b w:val="0"/>
                <w:color w:val="auto"/>
                <w:kern w:val="0"/>
                <w:sz w:val="22"/>
                <w:szCs w:val="22"/>
                <w:u w:val="none"/>
                <w:lang w:val="en-US" w:eastAsia="zh-CN" w:bidi="zh-CN"/>
              </w:rPr>
              <w:t>生均面积（㎡）</w:t>
            </w:r>
          </w:p>
        </w:tc>
      </w:tr>
      <w:tr w14:paraId="01D6A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635" w:type="dxa"/>
            <w:noWrap w:val="0"/>
            <w:vAlign w:val="center"/>
          </w:tcPr>
          <w:p w14:paraId="31C82926">
            <w:pPr>
              <w:keepNext w:val="0"/>
              <w:keepLines w:val="0"/>
              <w:pageBreakBefore w:val="0"/>
              <w:widowControl w:val="0"/>
              <w:kinsoku/>
              <w:wordWrap/>
              <w:overflowPunct/>
              <w:topLinePunct w:val="0"/>
              <w:autoSpaceDE w:val="0"/>
              <w:autoSpaceDN w:val="0"/>
              <w:bidi w:val="0"/>
              <w:adjustRightInd/>
              <w:snapToGrid/>
              <w:spacing w:line="317" w:lineRule="auto"/>
              <w:ind w:firstLine="0" w:firstLineChars="0"/>
              <w:jc w:val="center"/>
              <w:textAlignment w:val="auto"/>
              <w:rPr>
                <w:rFonts w:hint="default" w:ascii="仿宋" w:hAnsi="仿宋" w:eastAsia="仿宋" w:cs="仿宋"/>
                <w:b w:val="0"/>
                <w:color w:val="auto"/>
                <w:kern w:val="0"/>
                <w:sz w:val="22"/>
                <w:szCs w:val="22"/>
                <w:u w:val="none"/>
                <w:lang w:val="en-US" w:eastAsia="zh-CN" w:bidi="zh-CN"/>
              </w:rPr>
            </w:pPr>
            <w:r>
              <w:rPr>
                <w:rFonts w:hint="eastAsia" w:ascii="仿宋" w:hAnsi="仿宋" w:cs="仿宋"/>
                <w:b w:val="0"/>
                <w:color w:val="auto"/>
                <w:kern w:val="0"/>
                <w:sz w:val="22"/>
                <w:szCs w:val="22"/>
                <w:u w:val="none"/>
                <w:lang w:val="en-US" w:eastAsia="zh-CN" w:bidi="zh-CN"/>
              </w:rPr>
              <w:t>32561.36</w:t>
            </w:r>
          </w:p>
        </w:tc>
        <w:tc>
          <w:tcPr>
            <w:tcW w:w="1636" w:type="dxa"/>
            <w:noWrap w:val="0"/>
            <w:vAlign w:val="center"/>
          </w:tcPr>
          <w:p w14:paraId="31C036A0">
            <w:pPr>
              <w:keepNext w:val="0"/>
              <w:keepLines w:val="0"/>
              <w:pageBreakBefore w:val="0"/>
              <w:widowControl w:val="0"/>
              <w:kinsoku/>
              <w:wordWrap/>
              <w:overflowPunct/>
              <w:topLinePunct w:val="0"/>
              <w:autoSpaceDE w:val="0"/>
              <w:autoSpaceDN w:val="0"/>
              <w:bidi w:val="0"/>
              <w:adjustRightInd/>
              <w:snapToGrid/>
              <w:spacing w:line="317" w:lineRule="auto"/>
              <w:ind w:firstLine="0" w:firstLineChars="0"/>
              <w:jc w:val="center"/>
              <w:textAlignment w:val="auto"/>
              <w:rPr>
                <w:rFonts w:hint="default" w:ascii="仿宋" w:hAnsi="仿宋" w:eastAsia="仿宋" w:cs="仿宋"/>
                <w:b w:val="0"/>
                <w:color w:val="auto"/>
                <w:kern w:val="0"/>
                <w:sz w:val="22"/>
                <w:szCs w:val="22"/>
                <w:u w:val="none"/>
                <w:lang w:val="en-US" w:eastAsia="zh-CN" w:bidi="zh-CN"/>
              </w:rPr>
            </w:pPr>
            <w:r>
              <w:rPr>
                <w:rFonts w:hint="eastAsia" w:ascii="仿宋" w:hAnsi="仿宋" w:cs="仿宋"/>
                <w:b w:val="0"/>
                <w:color w:val="auto"/>
                <w:kern w:val="0"/>
                <w:sz w:val="22"/>
                <w:szCs w:val="22"/>
                <w:u w:val="none"/>
                <w:lang w:val="en-US" w:eastAsia="zh-CN" w:bidi="zh-CN"/>
              </w:rPr>
              <w:t>3470.36</w:t>
            </w:r>
          </w:p>
        </w:tc>
        <w:tc>
          <w:tcPr>
            <w:tcW w:w="1636" w:type="dxa"/>
            <w:noWrap w:val="0"/>
            <w:vAlign w:val="center"/>
          </w:tcPr>
          <w:p w14:paraId="7F761C49">
            <w:pPr>
              <w:keepNext w:val="0"/>
              <w:keepLines w:val="0"/>
              <w:pageBreakBefore w:val="0"/>
              <w:widowControl w:val="0"/>
              <w:kinsoku/>
              <w:wordWrap/>
              <w:overflowPunct/>
              <w:topLinePunct w:val="0"/>
              <w:autoSpaceDE w:val="0"/>
              <w:autoSpaceDN w:val="0"/>
              <w:bidi w:val="0"/>
              <w:adjustRightInd/>
              <w:snapToGrid/>
              <w:spacing w:line="317" w:lineRule="auto"/>
              <w:ind w:firstLine="0" w:firstLineChars="0"/>
              <w:jc w:val="center"/>
              <w:textAlignment w:val="auto"/>
              <w:rPr>
                <w:rFonts w:hint="default" w:ascii="仿宋" w:hAnsi="仿宋" w:eastAsia="仿宋" w:cs="仿宋"/>
                <w:b w:val="0"/>
                <w:color w:val="auto"/>
                <w:kern w:val="0"/>
                <w:sz w:val="22"/>
                <w:szCs w:val="22"/>
                <w:u w:val="none"/>
                <w:lang w:val="en-US" w:eastAsia="zh-CN" w:bidi="zh-CN"/>
              </w:rPr>
            </w:pPr>
            <w:r>
              <w:rPr>
                <w:rFonts w:hint="eastAsia" w:ascii="仿宋" w:hAnsi="仿宋" w:cs="仿宋"/>
                <w:b w:val="0"/>
                <w:color w:val="auto"/>
                <w:kern w:val="0"/>
                <w:sz w:val="22"/>
                <w:szCs w:val="22"/>
                <w:u w:val="none"/>
                <w:lang w:val="en-US" w:eastAsia="zh-CN" w:bidi="zh-CN"/>
              </w:rPr>
              <w:t>29091</w:t>
            </w:r>
          </w:p>
        </w:tc>
        <w:tc>
          <w:tcPr>
            <w:tcW w:w="1791" w:type="dxa"/>
            <w:noWrap w:val="0"/>
            <w:vAlign w:val="center"/>
          </w:tcPr>
          <w:p w14:paraId="67699D70">
            <w:pPr>
              <w:keepNext w:val="0"/>
              <w:keepLines w:val="0"/>
              <w:pageBreakBefore w:val="0"/>
              <w:widowControl w:val="0"/>
              <w:kinsoku/>
              <w:wordWrap/>
              <w:overflowPunct/>
              <w:topLinePunct w:val="0"/>
              <w:autoSpaceDE w:val="0"/>
              <w:autoSpaceDN w:val="0"/>
              <w:bidi w:val="0"/>
              <w:adjustRightInd/>
              <w:snapToGrid/>
              <w:spacing w:line="317" w:lineRule="auto"/>
              <w:ind w:firstLine="0" w:firstLineChars="0"/>
              <w:jc w:val="center"/>
              <w:textAlignment w:val="auto"/>
              <w:rPr>
                <w:rFonts w:hint="default" w:ascii="仿宋" w:hAnsi="仿宋" w:eastAsia="仿宋" w:cs="仿宋"/>
                <w:b w:val="0"/>
                <w:color w:val="auto"/>
                <w:kern w:val="0"/>
                <w:sz w:val="22"/>
                <w:szCs w:val="22"/>
                <w:u w:val="none"/>
                <w:lang w:val="en-US" w:eastAsia="zh-CN" w:bidi="zh-CN"/>
              </w:rPr>
            </w:pPr>
            <w:r>
              <w:rPr>
                <w:rFonts w:hint="eastAsia" w:ascii="仿宋" w:hAnsi="仿宋" w:eastAsia="仿宋" w:cs="仿宋"/>
                <w:b w:val="0"/>
                <w:color w:val="auto"/>
                <w:kern w:val="0"/>
                <w:sz w:val="22"/>
                <w:szCs w:val="22"/>
                <w:u w:val="none"/>
                <w:lang w:val="en-US" w:eastAsia="zh-CN" w:bidi="zh-CN"/>
              </w:rPr>
              <w:t>0.</w:t>
            </w:r>
            <w:r>
              <w:rPr>
                <w:rFonts w:hint="eastAsia" w:ascii="仿宋" w:hAnsi="仿宋" w:cs="仿宋"/>
                <w:b w:val="0"/>
                <w:color w:val="auto"/>
                <w:kern w:val="0"/>
                <w:sz w:val="22"/>
                <w:szCs w:val="22"/>
                <w:u w:val="none"/>
                <w:lang w:val="en-US" w:eastAsia="zh-CN" w:bidi="zh-CN"/>
              </w:rPr>
              <w:t>38</w:t>
            </w:r>
          </w:p>
        </w:tc>
        <w:tc>
          <w:tcPr>
            <w:tcW w:w="1808" w:type="dxa"/>
            <w:noWrap w:val="0"/>
            <w:vAlign w:val="center"/>
          </w:tcPr>
          <w:p w14:paraId="76480355">
            <w:pPr>
              <w:keepNext w:val="0"/>
              <w:keepLines w:val="0"/>
              <w:pageBreakBefore w:val="0"/>
              <w:widowControl w:val="0"/>
              <w:kinsoku/>
              <w:wordWrap/>
              <w:overflowPunct/>
              <w:topLinePunct w:val="0"/>
              <w:autoSpaceDE w:val="0"/>
              <w:autoSpaceDN w:val="0"/>
              <w:bidi w:val="0"/>
              <w:adjustRightInd/>
              <w:snapToGrid/>
              <w:spacing w:line="317" w:lineRule="auto"/>
              <w:ind w:firstLine="0" w:firstLineChars="0"/>
              <w:jc w:val="center"/>
              <w:textAlignment w:val="auto"/>
              <w:rPr>
                <w:rFonts w:hint="default" w:ascii="仿宋" w:hAnsi="仿宋" w:eastAsia="仿宋" w:cs="仿宋"/>
                <w:b w:val="0"/>
                <w:color w:val="auto"/>
                <w:kern w:val="0"/>
                <w:sz w:val="22"/>
                <w:szCs w:val="22"/>
                <w:u w:val="none"/>
                <w:lang w:val="en-US" w:eastAsia="zh-CN" w:bidi="zh-CN"/>
              </w:rPr>
            </w:pPr>
            <w:r>
              <w:rPr>
                <w:rFonts w:hint="eastAsia" w:ascii="仿宋" w:hAnsi="仿宋" w:cs="仿宋"/>
                <w:b w:val="0"/>
                <w:color w:val="auto"/>
                <w:kern w:val="0"/>
                <w:sz w:val="22"/>
                <w:szCs w:val="22"/>
                <w:u w:val="none"/>
                <w:lang w:val="en-US" w:eastAsia="zh-CN" w:bidi="zh-CN"/>
              </w:rPr>
              <w:t>3.22</w:t>
            </w:r>
          </w:p>
        </w:tc>
      </w:tr>
    </w:tbl>
    <w:p w14:paraId="67B393F1">
      <w:pPr>
        <w:pageBreakBefore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另外，体育部注重运动场所的免费开放和共享，以提高资源利用率。学校拥有室外篮球场、排球场、网球场、羽毛球场等多个运动场地，这些场地在满足体育教学和训练的同时，也向社会开放，实现了资源共享，开放程度与利用率达到90%以上，学生满意度达到90以上，实验实训开出率达到95%以上。体育部在实训室、运动场所及其设施条件方面，通过不断优化和创新，满足了教学要求，并实现了高效率的利用，为培养德智体美劳全面发展的社会主义建设者和接班人提供了有力支持。</w:t>
      </w:r>
    </w:p>
    <w:p w14:paraId="6804739B">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eastAsia" w:ascii="黑体" w:hAnsi="黑体" w:eastAsia="黑体" w:cs="黑体"/>
          <w:b/>
          <w:bCs/>
          <w:color w:val="auto"/>
          <w:sz w:val="32"/>
          <w:szCs w:val="32"/>
          <w:lang w:val="en-US" w:eastAsia="zh-CN"/>
        </w:rPr>
      </w:pPr>
      <w:bookmarkStart w:id="65" w:name="_Toc30439"/>
      <w:r>
        <w:rPr>
          <w:rFonts w:hint="eastAsia" w:ascii="黑体" w:hAnsi="黑体" w:eastAsia="黑体" w:cs="黑体"/>
          <w:b/>
          <w:bCs/>
          <w:color w:val="auto"/>
          <w:sz w:val="32"/>
          <w:szCs w:val="32"/>
          <w:lang w:val="en-US" w:eastAsia="zh-CN"/>
        </w:rPr>
        <w:t>3.2</w:t>
      </w:r>
      <w:r>
        <w:rPr>
          <w:rFonts w:hint="eastAsia" w:ascii="黑体" w:hAnsi="黑体" w:cs="黑体"/>
          <w:b/>
          <w:bCs/>
          <w:color w:val="auto"/>
          <w:sz w:val="32"/>
          <w:szCs w:val="32"/>
          <w:lang w:val="en-US" w:eastAsia="zh-CN"/>
        </w:rPr>
        <w:t xml:space="preserve"> </w:t>
      </w:r>
      <w:r>
        <w:rPr>
          <w:rFonts w:hint="eastAsia" w:ascii="黑体" w:hAnsi="黑体" w:eastAsia="黑体" w:cs="黑体"/>
          <w:b/>
          <w:bCs/>
          <w:color w:val="auto"/>
          <w:sz w:val="32"/>
          <w:szCs w:val="32"/>
          <w:lang w:val="en-US" w:eastAsia="zh-CN"/>
        </w:rPr>
        <w:t>资源建设</w:t>
      </w:r>
      <w:bookmarkEnd w:id="65"/>
    </w:p>
    <w:p w14:paraId="459229CE">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66" w:name="_Toc5191"/>
      <w:bookmarkStart w:id="67" w:name="_Toc19518"/>
      <w:r>
        <w:rPr>
          <w:rFonts w:hint="default" w:ascii="仿宋" w:hAnsi="仿宋" w:eastAsia="仿宋" w:cs="仿宋"/>
          <w:b/>
          <w:bCs/>
          <w:color w:val="auto"/>
          <w:sz w:val="28"/>
          <w:szCs w:val="28"/>
          <w:lang w:val="en-US" w:eastAsia="zh-CN"/>
        </w:rPr>
        <w:t>3.2.1</w:t>
      </w:r>
      <w:r>
        <w:rPr>
          <w:rFonts w:hint="eastAsia" w:ascii="仿宋" w:hAnsi="仿宋" w:eastAsia="仿宋" w:cs="仿宋"/>
          <w:b/>
          <w:bCs/>
          <w:color w:val="auto"/>
          <w:sz w:val="28"/>
          <w:szCs w:val="28"/>
          <w:lang w:val="en-US" w:eastAsia="zh-CN"/>
        </w:rPr>
        <w:t>推进</w:t>
      </w:r>
      <w:r>
        <w:rPr>
          <w:rFonts w:hint="default" w:ascii="仿宋" w:hAnsi="仿宋" w:eastAsia="仿宋" w:cs="仿宋"/>
          <w:b/>
          <w:bCs/>
          <w:color w:val="auto"/>
          <w:sz w:val="28"/>
          <w:szCs w:val="28"/>
          <w:lang w:val="en-US" w:eastAsia="zh-CN"/>
        </w:rPr>
        <w:t>适合“互联网+”</w:t>
      </w:r>
      <w:r>
        <w:rPr>
          <w:rFonts w:hint="eastAsia" w:ascii="仿宋" w:hAnsi="仿宋" w:eastAsia="仿宋" w:cs="仿宋"/>
          <w:b/>
          <w:bCs/>
          <w:color w:val="auto"/>
          <w:sz w:val="28"/>
          <w:szCs w:val="28"/>
          <w:lang w:val="en-US" w:eastAsia="zh-CN"/>
        </w:rPr>
        <w:t>课程教学需要的教学设施和条件建设</w:t>
      </w:r>
      <w:bookmarkEnd w:id="66"/>
      <w:bookmarkEnd w:id="67"/>
    </w:p>
    <w:p w14:paraId="7ADE9C68">
      <w:pPr>
        <w:pageBreakBefore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体育部高度重视教学资源的建设，特别是在体育训练形体房和体质测试室方面，已经具备了智能实训室的条件。先进的硬件设施为体育教学和训练提供了强有力的支持。这些设施包括高亮度、高清晰度的智能显示屏，用于显示运动数据和指导锻炼动作；液晶电视、专业音响及冷暖空调等设备，为学生提供了舒适的训练环境；木地板、把杆、全身落地镜等采用舞蹈专用材质，达到了标准形体训练教室的要求。</w:t>
      </w:r>
    </w:p>
    <w:p w14:paraId="5C6A2A94">
      <w:pPr>
        <w:pageBreakBefore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在智能化软件系统方面，体育部运用大数据和云计算等技术，通过软件跑步系统、体质测试软件系统，能够根据个体的身体状况、锻炼目标和喜好，为用户提供个性化的锻炼方案和指导。这些系统能够实时分析用户的运动数据，提供反馈和建议，帮助用户做出调整和改进。同时，体育部高度重视信息安全和隐私保护，确保软件系统的合理使用用户数据，遵守相关法律法规，并采取有效的技术手段保护用户信息免受未授权的访问、使用或泄露。体育部还注重多元化的锻炼方式，满足人们对多样化锻炼方式的需求。此外，为了保障实训教学软件及设备的正常运行，体育部提供了满足线上实践指导及信息化管理所需的网络环境。</w:t>
      </w:r>
    </w:p>
    <w:p w14:paraId="2E7105E6">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default" w:ascii="仿宋" w:hAnsi="仿宋" w:eastAsia="仿宋" w:cs="仿宋"/>
          <w:b/>
          <w:bCs/>
          <w:color w:val="auto"/>
          <w:sz w:val="28"/>
          <w:szCs w:val="28"/>
          <w:lang w:val="en-US" w:eastAsia="zh-CN"/>
        </w:rPr>
      </w:pPr>
      <w:bookmarkStart w:id="68" w:name="_Toc10875"/>
      <w:bookmarkStart w:id="69" w:name="_Toc7705"/>
      <w:r>
        <w:rPr>
          <w:rFonts w:hint="default" w:ascii="仿宋" w:hAnsi="仿宋" w:eastAsia="仿宋" w:cs="仿宋"/>
          <w:b/>
          <w:bCs/>
          <w:color w:val="auto"/>
          <w:sz w:val="28"/>
          <w:szCs w:val="28"/>
          <w:lang w:val="en-US" w:eastAsia="zh-CN"/>
        </w:rPr>
        <w:t>3.2.</w:t>
      </w:r>
      <w:r>
        <w:rPr>
          <w:rFonts w:hint="eastAsia" w:ascii="仿宋" w:hAnsi="仿宋" w:eastAsia="仿宋" w:cs="仿宋"/>
          <w:b/>
          <w:bCs/>
          <w:color w:val="auto"/>
          <w:sz w:val="28"/>
          <w:szCs w:val="28"/>
          <w:lang w:val="en-US" w:eastAsia="zh-CN"/>
        </w:rPr>
        <w:t>2推进产业技术发展成果、产学研项目及科研成果转化为教学资源</w:t>
      </w:r>
      <w:bookmarkEnd w:id="68"/>
      <w:bookmarkEnd w:id="69"/>
    </w:p>
    <w:p w14:paraId="7237AD2E">
      <w:pPr>
        <w:pageBreakBefore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体育部在资源建设方面特别是在产学研技术发展和合作项目上，通过创新产业啦啦操协会与乒乓球培训项目，体育部近两年帮助近2000名学生完成了啦啦操等级培训，提升了学生的专业技能和校园体育文化。同时，与中国足球发展基金会合作，成功立项大学生足球公益项目，举办了“睿智杯”6高校女子足球邀请赛，校内足球赛事近600场，足球支教学校10余所，县域足球教练员培训近40名，推动了校园足球文化的发展和足球运动的普及。这些活动不仅增强了学生的体育技能和身体素质，也为体育教育的均衡发展和校园体育文化的繁荣做出了积极贡献，展现了体育部在教学、科研和社会服务方面的综合实力。</w:t>
      </w:r>
    </w:p>
    <w:p w14:paraId="662C18C4">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eastAsia" w:ascii="黑体" w:hAnsi="黑体" w:eastAsia="黑体" w:cs="黑体"/>
          <w:b/>
          <w:bCs/>
          <w:color w:val="auto"/>
          <w:sz w:val="32"/>
          <w:szCs w:val="32"/>
          <w:lang w:val="en-US" w:eastAsia="zh-CN"/>
        </w:rPr>
      </w:pPr>
      <w:bookmarkStart w:id="70" w:name="_Toc17045"/>
      <w:r>
        <w:rPr>
          <w:rFonts w:hint="eastAsia" w:ascii="黑体" w:hAnsi="黑体" w:eastAsia="黑体" w:cs="黑体"/>
          <w:b/>
          <w:bCs/>
          <w:color w:val="auto"/>
          <w:sz w:val="32"/>
          <w:szCs w:val="32"/>
          <w:lang w:val="en-US" w:eastAsia="zh-CN"/>
        </w:rPr>
        <w:t>3.3 存在的问题、原因分析及下一步整改举措</w:t>
      </w:r>
      <w:bookmarkEnd w:id="70"/>
    </w:p>
    <w:p w14:paraId="63E22C81">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71" w:name="_Toc6115"/>
      <w:bookmarkStart w:id="72" w:name="_Toc26279"/>
      <w:r>
        <w:rPr>
          <w:rFonts w:hint="eastAsia" w:ascii="仿宋" w:hAnsi="仿宋" w:eastAsia="仿宋" w:cs="仿宋"/>
          <w:b/>
          <w:bCs/>
          <w:color w:val="auto"/>
          <w:sz w:val="28"/>
          <w:szCs w:val="28"/>
          <w:lang w:val="en-US" w:eastAsia="zh-CN"/>
        </w:rPr>
        <w:t>3.3.1存在的问题与原因分析</w:t>
      </w:r>
      <w:bookmarkEnd w:id="71"/>
      <w:bookmarkEnd w:id="72"/>
    </w:p>
    <w:p w14:paraId="07CF1C5E">
      <w:pPr>
        <w:pageBreakBefore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第一是教学经费管理和使用规范问题。体育部在教学经费管理和使用上，虽有明确的规范和制度，但在实际操作中仍面临一些挑战。教学资源如图书资料的更新和采购可能未能及时跟上教学需求的变化，这与市场供应、采购流程效率有关。</w:t>
      </w:r>
    </w:p>
    <w:p w14:paraId="04C06331">
      <w:pPr>
        <w:pageBreakBefore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第二是实训室、运动场所及其设施条件问题。体育部的实训室和运动场所在满足教学要求方面存在一些不足。尽管设备满足相关教学实验需求，仪器设备运行使用情况良好，但仍有提升空间。例如，体育基础设施可能存在短缺，利用率不高的问题，这与学校对体育设施投入的预算和维护管理有关。此外，教学方式可能相对落后，未能充分激发学生参与体育活动的积极性。</w:t>
      </w:r>
    </w:p>
    <w:p w14:paraId="2542AB2F">
      <w:pPr>
        <w:pageBreakBefore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第三是推进“互联网+”课程教学需要的教学设施和条件建设问题。在推进“互联网+”课程教学方面，体育部需要进一步加强教学设施和条件的建设。目前，虽然已有一些信息化教育手段的应用，如多媒体、电子白板等，但在深度融合和创新应用上还有较大的提升空间。这可能与学校对现代教育技术的投入不足、教师对新技术的掌握和应用能力有待提高有关。</w:t>
      </w:r>
    </w:p>
    <w:p w14:paraId="65CB1B59">
      <w:pPr>
        <w:pageBreakBefore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第四是产业技术发展成果、产学研项目及科研成果转化为教学资源问题。体育部在将产业技术发展成果、产学研项目及科研成果转化为教学资源方面，虽有尝试和努力，但转化效率和效果尚未达到预期。这可能与产学研合作机制不够完善、科研成果与教学需求对接不紧密有关。此外，学校在推动科研成果转化为教学资源的政策支持和激励机制上还有待加强。</w:t>
      </w:r>
    </w:p>
    <w:p w14:paraId="7F3D1AFC">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73" w:name="_Toc27555"/>
      <w:bookmarkStart w:id="74" w:name="_Toc23780"/>
      <w:r>
        <w:rPr>
          <w:rFonts w:hint="eastAsia" w:ascii="仿宋" w:hAnsi="仿宋" w:eastAsia="仿宋" w:cs="仿宋"/>
          <w:b/>
          <w:bCs/>
          <w:color w:val="auto"/>
          <w:sz w:val="28"/>
          <w:szCs w:val="28"/>
          <w:lang w:val="en-US" w:eastAsia="zh-CN"/>
        </w:rPr>
        <w:t>3.3.21整改举措</w:t>
      </w:r>
      <w:bookmarkEnd w:id="73"/>
      <w:bookmarkEnd w:id="74"/>
    </w:p>
    <w:p w14:paraId="1421FB20">
      <w:pPr>
        <w:pageBreakBefore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第一是优化教学经费管理和预算执行。为了提高教学经费的使用效率和预算执行率，体育部将加强对预算编制的科学性和合理性，确保预算与实际教学需求相匹配。同时，体育部将建立更为严格的经费使用监控机制，对经费使用情况进行定期审计和评估，确保经费的有效利用。此外，体育部还将加强与财务部门的沟通协调，优化报销流程，提高预算执行的灵活性和响应速度。</w:t>
      </w:r>
    </w:p>
    <w:p w14:paraId="1D824CCC">
      <w:pPr>
        <w:pageBreakBefore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第二是提升实训室和运动场所的设施条件及利用率。体育部计划对现有的实训室和运动场所进行升级改造，引入先进的体育教学设备和训练器材，以满足现代体育教学的需求。同时，体育部将制定更为合理的场地使用计划，提高场地的开放时间和利用率，确保学生和教师能够充分利用这些资源。此外，体育部还将探索与社区和企业的合作，通过资源共享和场地租赁等方式，提高设施的使用效率和经济效益。</w:t>
      </w:r>
    </w:p>
    <w:p w14:paraId="6EBB8B5F">
      <w:pPr>
        <w:pageBreakBefore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b w:val="0"/>
          <w:color w:val="auto"/>
          <w:kern w:val="0"/>
          <w:sz w:val="28"/>
          <w:szCs w:val="28"/>
          <w:u w:val="none"/>
          <w:lang w:val="en-US" w:eastAsia="zh-CN" w:bidi="zh-CN"/>
        </w:rPr>
      </w:pPr>
      <w:r>
        <w:rPr>
          <w:rFonts w:hint="eastAsia" w:ascii="仿宋" w:hAnsi="仿宋" w:eastAsia="仿宋" w:cs="仿宋"/>
          <w:b w:val="0"/>
          <w:color w:val="auto"/>
          <w:kern w:val="0"/>
          <w:sz w:val="28"/>
          <w:szCs w:val="28"/>
          <w:u w:val="none"/>
          <w:lang w:val="en-US" w:eastAsia="zh-CN" w:bidi="zh-CN"/>
        </w:rPr>
        <w:t>第三是加强“互联网+”教学设施建设和科研成果转化为教学资源。体育部将加大投入，推进“互联网+”教学设施的建设和升级，包括建设智慧教室、在线教学平台等，以适应数字化教学的新趋势。同时，体育部将鼓励教师参与在线课程的开发和教学资源的建设，提升教学质量和互动性。在科研成果转化为教学资源方面，体育部将建立产学研合作平台，促进教师与行业企业的合作，将最新的科研成果和行业实践融入教学内容，提高教学的实用性和前瞻性。此外，体育部还将定期组织教师培训和学术研讨，提升教师的科研能力和教学水平，促进科研与教学的深度融合。</w:t>
      </w:r>
    </w:p>
    <w:p w14:paraId="2FE371D5">
      <w:pPr>
        <w:pageBreakBefore w:val="0"/>
        <w:kinsoku/>
        <w:wordWrap/>
        <w:overflowPunct/>
        <w:topLinePunct w:val="0"/>
        <w:bidi w:val="0"/>
        <w:adjustRightInd/>
        <w:snapToGrid/>
        <w:spacing w:line="500" w:lineRule="exact"/>
        <w:ind w:left="0" w:leftChars="0" w:firstLine="562" w:firstLineChars="200"/>
        <w:jc w:val="left"/>
        <w:textAlignment w:val="auto"/>
        <w:outlineLvl w:val="9"/>
        <w:rPr>
          <w:rFonts w:hint="eastAsia" w:ascii="仿宋" w:hAnsi="仿宋" w:eastAsia="仿宋" w:cs="仿宋"/>
          <w:b/>
          <w:bCs/>
          <w:color w:val="auto"/>
        </w:rPr>
      </w:pPr>
      <w:bookmarkStart w:id="75" w:name="_Toc11367"/>
    </w:p>
    <w:bookmarkEnd w:id="75"/>
    <w:p w14:paraId="620717B4">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eastAsia" w:ascii="黑体" w:hAnsi="黑体" w:eastAsia="黑体" w:cs="黑体"/>
          <w:b/>
          <w:bCs/>
          <w:color w:val="auto"/>
          <w:sz w:val="32"/>
          <w:szCs w:val="32"/>
          <w:lang w:val="en-US" w:eastAsia="zh-CN"/>
        </w:rPr>
      </w:pPr>
      <w:bookmarkStart w:id="76" w:name="_Toc22416"/>
      <w:r>
        <w:rPr>
          <w:rFonts w:hint="eastAsia" w:ascii="黑体" w:hAnsi="黑体" w:eastAsia="黑体" w:cs="黑体"/>
          <w:b/>
          <w:bCs/>
          <w:color w:val="auto"/>
          <w:sz w:val="32"/>
          <w:szCs w:val="32"/>
          <w:lang w:val="en-US" w:eastAsia="zh-CN"/>
        </w:rPr>
        <w:t>4. 教师队伍</w:t>
      </w:r>
      <w:bookmarkEnd w:id="76"/>
    </w:p>
    <w:p w14:paraId="7897A41A">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eastAsia" w:ascii="黑体" w:hAnsi="黑体" w:eastAsia="黑体" w:cs="黑体"/>
          <w:b/>
          <w:bCs/>
          <w:color w:val="auto"/>
          <w:sz w:val="32"/>
          <w:szCs w:val="32"/>
          <w:lang w:val="en-US" w:eastAsia="zh-CN"/>
        </w:rPr>
      </w:pPr>
      <w:bookmarkStart w:id="77" w:name="_Toc308"/>
      <w:bookmarkStart w:id="78" w:name="_Toc23454"/>
      <w:r>
        <w:rPr>
          <w:rFonts w:hint="eastAsia" w:ascii="黑体" w:hAnsi="黑体" w:eastAsia="黑体" w:cs="黑体"/>
          <w:b/>
          <w:bCs/>
          <w:color w:val="auto"/>
          <w:sz w:val="32"/>
          <w:szCs w:val="32"/>
          <w:lang w:val="en-US" w:eastAsia="zh-CN"/>
        </w:rPr>
        <w:t>4.1</w:t>
      </w:r>
      <w:r>
        <w:rPr>
          <w:rFonts w:hint="eastAsia" w:ascii="黑体" w:hAnsi="黑体" w:cs="黑体"/>
          <w:b/>
          <w:bCs/>
          <w:color w:val="auto"/>
          <w:sz w:val="32"/>
          <w:szCs w:val="32"/>
          <w:lang w:val="en-US" w:eastAsia="zh-CN"/>
        </w:rPr>
        <w:t xml:space="preserve"> </w:t>
      </w:r>
      <w:r>
        <w:rPr>
          <w:rFonts w:hint="eastAsia" w:ascii="黑体" w:hAnsi="黑体" w:eastAsia="黑体" w:cs="黑体"/>
          <w:b/>
          <w:bCs/>
          <w:color w:val="auto"/>
          <w:sz w:val="32"/>
          <w:szCs w:val="32"/>
          <w:lang w:val="en-US" w:eastAsia="zh-CN"/>
        </w:rPr>
        <w:t>师德师风</w:t>
      </w:r>
      <w:bookmarkEnd w:id="77"/>
    </w:p>
    <w:p w14:paraId="784F8AEB">
      <w:pPr>
        <w:pStyle w:val="4"/>
        <w:keepNext w:val="0"/>
        <w:keepLines w:val="0"/>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79" w:name="_Toc21857"/>
      <w:bookmarkStart w:id="80" w:name="_Toc4933"/>
      <w:bookmarkStart w:id="81" w:name="_Toc22627"/>
      <w:r>
        <w:rPr>
          <w:rFonts w:hint="eastAsia" w:ascii="仿宋" w:hAnsi="仿宋" w:eastAsia="仿宋" w:cs="仿宋"/>
          <w:b/>
          <w:bCs/>
          <w:color w:val="auto"/>
          <w:sz w:val="28"/>
          <w:szCs w:val="28"/>
          <w:lang w:val="en-US" w:eastAsia="zh-CN"/>
        </w:rPr>
        <w:t>4.1.1强化师德师风建设</w:t>
      </w:r>
      <w:bookmarkEnd w:id="79"/>
      <w:bookmarkEnd w:id="80"/>
      <w:bookmarkEnd w:id="81"/>
    </w:p>
    <w:p w14:paraId="71A09812">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kern w:val="2"/>
          <w:sz w:val="28"/>
          <w:szCs w:val="28"/>
          <w:lang w:val="en-US" w:eastAsia="zh-CN" w:bidi="ar"/>
        </w:rPr>
        <w:t>为深入学习贯彻习近平总书记关于教育的重要论述、全国教育大会精神以及国家、湖南省关于新时代师德师风建设的新部署、新要求，近年来，</w:t>
      </w:r>
      <w:r>
        <w:rPr>
          <w:rFonts w:hint="eastAsia" w:ascii="仿宋" w:hAnsi="仿宋" w:cs="仿宋"/>
          <w:color w:val="auto"/>
          <w:kern w:val="2"/>
          <w:sz w:val="28"/>
          <w:szCs w:val="28"/>
          <w:lang w:val="en-US" w:eastAsia="zh-CN" w:bidi="ar"/>
        </w:rPr>
        <w:t>体育部</w:t>
      </w:r>
      <w:r>
        <w:rPr>
          <w:rFonts w:hint="eastAsia" w:ascii="仿宋" w:hAnsi="仿宋" w:eastAsia="仿宋" w:cs="仿宋"/>
          <w:color w:val="auto"/>
          <w:kern w:val="2"/>
          <w:sz w:val="28"/>
          <w:szCs w:val="28"/>
          <w:lang w:val="en-US" w:eastAsia="zh-CN" w:bidi="ar"/>
        </w:rPr>
        <w:t>坚决落实师德师风第一标准，锚定建设一支政治素质过硬、业务能力强、专业知识扎实、育人水平高超的高素质教师队伍目标，强化师德师风建设。</w:t>
      </w:r>
    </w:p>
    <w:p w14:paraId="4E4FC0BF">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仿宋"/>
          <w:b w:val="0"/>
          <w:color w:val="auto"/>
          <w:sz w:val="28"/>
          <w:szCs w:val="28"/>
          <w:u w:val="none"/>
          <w:lang w:val="en-US" w:eastAsia="zh-CN"/>
        </w:rPr>
      </w:pPr>
      <w:r>
        <w:rPr>
          <w:rFonts w:hint="eastAsia" w:ascii="仿宋" w:hAnsi="仿宋" w:eastAsia="仿宋" w:cs="仿宋"/>
          <w:b w:val="0"/>
          <w:color w:val="auto"/>
          <w:sz w:val="28"/>
          <w:szCs w:val="28"/>
          <w:u w:val="none"/>
          <w:lang w:val="en-US" w:eastAsia="zh-CN"/>
        </w:rPr>
        <w:t>一是完善师德师风建设机制，强化师德师风建设的领导。</w:t>
      </w:r>
      <w:r>
        <w:rPr>
          <w:rFonts w:hint="eastAsia" w:ascii="仿宋" w:hAnsi="仿宋" w:cs="仿宋"/>
          <w:b w:val="0"/>
          <w:color w:val="auto"/>
          <w:sz w:val="28"/>
          <w:szCs w:val="28"/>
          <w:u w:val="none"/>
          <w:lang w:val="en-US" w:eastAsia="zh-CN"/>
        </w:rPr>
        <w:t>体育部</w:t>
      </w:r>
      <w:r>
        <w:rPr>
          <w:rFonts w:hint="eastAsia" w:ascii="仿宋" w:hAnsi="仿宋" w:eastAsia="仿宋" w:cs="仿宋"/>
          <w:b w:val="0"/>
          <w:color w:val="auto"/>
          <w:sz w:val="28"/>
          <w:szCs w:val="28"/>
          <w:u w:val="none"/>
          <w:lang w:val="en-US" w:eastAsia="zh-CN"/>
        </w:rPr>
        <w:t>成立师德师风建设领导小组，明确</w:t>
      </w:r>
      <w:r>
        <w:rPr>
          <w:rFonts w:hint="eastAsia" w:ascii="仿宋" w:hAnsi="仿宋" w:cs="仿宋"/>
          <w:b w:val="0"/>
          <w:color w:val="auto"/>
          <w:sz w:val="28"/>
          <w:szCs w:val="28"/>
          <w:u w:val="none"/>
          <w:lang w:val="en-US" w:eastAsia="zh-CN"/>
        </w:rPr>
        <w:t>主任、副主任</w:t>
      </w:r>
      <w:r>
        <w:rPr>
          <w:rFonts w:hint="eastAsia" w:ascii="仿宋" w:hAnsi="仿宋" w:eastAsia="仿宋" w:cs="仿宋"/>
          <w:b w:val="0"/>
          <w:color w:val="auto"/>
          <w:sz w:val="28"/>
          <w:szCs w:val="28"/>
          <w:u w:val="none"/>
          <w:lang w:val="en-US" w:eastAsia="zh-CN"/>
        </w:rPr>
        <w:t>为师德师风建设第一责任人，</w:t>
      </w:r>
      <w:r>
        <w:rPr>
          <w:rFonts w:hint="eastAsia" w:ascii="仿宋" w:hAnsi="仿宋" w:eastAsia="仿宋" w:cs="仿宋"/>
          <w:i w:val="0"/>
          <w:iCs w:val="0"/>
          <w:caps w:val="0"/>
          <w:color w:val="auto"/>
          <w:spacing w:val="0"/>
          <w:sz w:val="28"/>
          <w:szCs w:val="28"/>
          <w:shd w:val="clear" w:color="auto" w:fill="FFFFFF"/>
          <w:lang w:val="en-US" w:eastAsia="zh-CN"/>
        </w:rPr>
        <w:t>强化党委领导班子师德师风建设主体责任；按照《新时代高校教师职业行为十项准则》和《关于加强和改进新时代师德师风建设的意见》，完善了</w:t>
      </w:r>
      <w:r>
        <w:rPr>
          <w:rFonts w:hint="eastAsia" w:ascii="仿宋" w:hAnsi="仿宋" w:cs="仿宋"/>
          <w:i w:val="0"/>
          <w:iCs w:val="0"/>
          <w:caps w:val="0"/>
          <w:color w:val="auto"/>
          <w:spacing w:val="0"/>
          <w:sz w:val="28"/>
          <w:szCs w:val="28"/>
          <w:shd w:val="clear" w:color="auto" w:fill="FFFFFF"/>
          <w:lang w:val="en-US" w:eastAsia="zh-CN"/>
        </w:rPr>
        <w:t>师</w:t>
      </w:r>
      <w:r>
        <w:rPr>
          <w:rFonts w:hint="eastAsia" w:ascii="仿宋" w:hAnsi="仿宋" w:eastAsia="仿宋" w:cs="仿宋"/>
          <w:i w:val="0"/>
          <w:iCs w:val="0"/>
          <w:caps w:val="0"/>
          <w:color w:val="auto"/>
          <w:spacing w:val="0"/>
          <w:sz w:val="28"/>
          <w:szCs w:val="28"/>
          <w:shd w:val="clear" w:color="auto" w:fill="FFFFFF"/>
          <w:lang w:val="en-US" w:eastAsia="zh-CN"/>
        </w:rPr>
        <w:t>德师风一票否决机制；根据师德师风建设要求把好人才引进关、教师身份关。进一步强化了学院师德师风考评、监督等制度机制的建设。</w:t>
      </w:r>
    </w:p>
    <w:p w14:paraId="72883DB8">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仿宋"/>
          <w:b w:val="0"/>
          <w:color w:val="auto"/>
          <w:sz w:val="28"/>
          <w:szCs w:val="28"/>
          <w:u w:val="none"/>
          <w:lang w:val="en-US" w:eastAsia="zh-CN"/>
        </w:rPr>
      </w:pPr>
      <w:r>
        <w:rPr>
          <w:rFonts w:hint="eastAsia" w:ascii="仿宋" w:hAnsi="仿宋" w:eastAsia="仿宋" w:cs="仿宋"/>
          <w:b w:val="0"/>
          <w:color w:val="auto"/>
          <w:sz w:val="28"/>
          <w:szCs w:val="28"/>
          <w:u w:val="none"/>
          <w:lang w:val="en-US" w:eastAsia="zh-CN"/>
        </w:rPr>
        <w:t>二是加强师德师风教育，引导全体教师做“四有好老师”，做“四个引路人”。近年来，</w:t>
      </w:r>
      <w:r>
        <w:rPr>
          <w:rFonts w:hint="eastAsia" w:ascii="仿宋" w:hAnsi="仿宋" w:cs="仿宋"/>
          <w:b w:val="0"/>
          <w:color w:val="auto"/>
          <w:sz w:val="28"/>
          <w:szCs w:val="28"/>
          <w:u w:val="none"/>
          <w:lang w:val="en-US" w:eastAsia="zh-CN"/>
        </w:rPr>
        <w:t>体育部</w:t>
      </w:r>
      <w:r>
        <w:rPr>
          <w:rFonts w:hint="eastAsia" w:ascii="仿宋" w:hAnsi="仿宋" w:eastAsia="仿宋" w:cs="仿宋"/>
          <w:b w:val="0"/>
          <w:color w:val="auto"/>
          <w:sz w:val="28"/>
          <w:szCs w:val="28"/>
          <w:u w:val="none"/>
          <w:lang w:val="en-US" w:eastAsia="zh-CN"/>
        </w:rPr>
        <w:t>深入贯彻习近平总书记关于“四有好老师”、“四个引路人”指示批示精神，每年定期组织全院教职工学习《师德师风教育读本》、</w:t>
      </w:r>
      <w:r>
        <w:rPr>
          <w:rFonts w:hint="eastAsia" w:ascii="仿宋" w:hAnsi="仿宋" w:eastAsia="仿宋" w:cs="仿宋"/>
          <w:i w:val="0"/>
          <w:iCs w:val="0"/>
          <w:caps w:val="0"/>
          <w:color w:val="auto"/>
          <w:spacing w:val="0"/>
          <w:sz w:val="28"/>
          <w:szCs w:val="28"/>
          <w:shd w:val="clear" w:color="auto" w:fill="FFFFFF"/>
          <w:lang w:val="en-US" w:eastAsia="zh-CN"/>
        </w:rPr>
        <w:t>《新时代高校教师职业行为十项准则》和《关于加强和改进新时代师德师风建设的意见》，进一步提高教师对师德师风建设重要性的认识，针对《准则》开展自省自警；每年组织集中</w:t>
      </w:r>
      <w:r>
        <w:rPr>
          <w:rFonts w:hint="eastAsia" w:ascii="仿宋" w:hAnsi="仿宋" w:eastAsia="仿宋" w:cs="仿宋"/>
          <w:b w:val="0"/>
          <w:color w:val="auto"/>
          <w:sz w:val="28"/>
          <w:szCs w:val="28"/>
          <w:u w:val="none"/>
          <w:lang w:val="en-US" w:eastAsia="zh-CN"/>
        </w:rPr>
        <w:t>观看师德师风警示教育专题片、开展有效建立师德师风教育常态长效机制，确保</w:t>
      </w:r>
      <w:r>
        <w:rPr>
          <w:rFonts w:hint="eastAsia" w:ascii="仿宋" w:hAnsi="仿宋" w:cs="仿宋"/>
          <w:b w:val="0"/>
          <w:color w:val="auto"/>
          <w:sz w:val="28"/>
          <w:szCs w:val="28"/>
          <w:u w:val="none"/>
          <w:lang w:val="en-US" w:eastAsia="zh-CN"/>
        </w:rPr>
        <w:t>体育部</w:t>
      </w:r>
      <w:r>
        <w:rPr>
          <w:rFonts w:hint="eastAsia" w:ascii="仿宋" w:hAnsi="仿宋" w:eastAsia="仿宋" w:cs="仿宋"/>
          <w:b w:val="0"/>
          <w:color w:val="auto"/>
          <w:sz w:val="28"/>
          <w:szCs w:val="28"/>
          <w:u w:val="none"/>
          <w:lang w:val="en-US" w:eastAsia="zh-CN"/>
        </w:rPr>
        <w:t>风清气正。</w:t>
      </w:r>
    </w:p>
    <w:p w14:paraId="06C6078D">
      <w:pPr>
        <w:pageBreakBefore w:val="0"/>
        <w:kinsoku/>
        <w:wordWrap/>
        <w:overflowPunct/>
        <w:topLinePunct w:val="0"/>
        <w:bidi w:val="0"/>
        <w:adjustRightInd/>
        <w:snapToGrid/>
        <w:spacing w:line="500" w:lineRule="exact"/>
        <w:ind w:firstLine="560" w:firstLineChars="200"/>
        <w:jc w:val="left"/>
        <w:textAlignment w:val="auto"/>
        <w:rPr>
          <w:rFonts w:hint="eastAsia" w:ascii="仿宋" w:hAnsi="仿宋" w:eastAsia="仿宋" w:cs="仿宋"/>
          <w:b w:val="0"/>
          <w:color w:val="auto"/>
          <w:sz w:val="28"/>
          <w:szCs w:val="28"/>
          <w:u w:val="none"/>
          <w:lang w:val="en-US" w:eastAsia="zh-CN" w:bidi="zh-CN"/>
        </w:rPr>
      </w:pPr>
      <w:r>
        <w:rPr>
          <w:rFonts w:hint="eastAsia" w:ascii="仿宋" w:hAnsi="仿宋" w:eastAsia="仿宋" w:cs="仿宋"/>
          <w:b w:val="0"/>
          <w:color w:val="auto"/>
          <w:sz w:val="28"/>
          <w:szCs w:val="28"/>
          <w:u w:val="none"/>
          <w:lang w:val="en-US" w:eastAsia="zh-CN" w:bidi="zh-CN"/>
        </w:rPr>
        <w:t>三是严格师德师风监督考核，引导全体教师做到明底线、知敬畏。近年来，</w:t>
      </w:r>
      <w:r>
        <w:rPr>
          <w:rFonts w:hint="eastAsia" w:ascii="仿宋" w:hAnsi="仿宋" w:cs="仿宋"/>
          <w:b w:val="0"/>
          <w:color w:val="auto"/>
          <w:sz w:val="28"/>
          <w:szCs w:val="28"/>
          <w:u w:val="none"/>
          <w:lang w:val="en-US" w:eastAsia="zh-CN" w:bidi="zh-CN"/>
        </w:rPr>
        <w:t>体育部</w:t>
      </w:r>
      <w:r>
        <w:rPr>
          <w:rFonts w:hint="eastAsia" w:ascii="仿宋" w:hAnsi="仿宋" w:eastAsia="仿宋" w:cs="仿宋"/>
          <w:b w:val="0"/>
          <w:color w:val="auto"/>
          <w:sz w:val="28"/>
          <w:szCs w:val="28"/>
          <w:u w:val="none"/>
          <w:lang w:val="en-US" w:eastAsia="zh-CN" w:bidi="zh-CN"/>
        </w:rPr>
        <w:t>严格执行中央“八项规定”，组织开展“以学谋私”专项整治，通过深入自查自纠、严格检查抽查等方式，整治不正之风</w:t>
      </w:r>
      <w:r>
        <w:rPr>
          <w:rFonts w:hint="eastAsia" w:ascii="仿宋" w:hAnsi="仿宋" w:cs="仿宋"/>
          <w:b w:val="0"/>
          <w:color w:val="auto"/>
          <w:sz w:val="28"/>
          <w:szCs w:val="28"/>
          <w:u w:val="none"/>
          <w:lang w:val="en-US" w:eastAsia="zh-CN" w:bidi="zh-CN"/>
        </w:rPr>
        <w:t>，</w:t>
      </w:r>
      <w:r>
        <w:rPr>
          <w:rFonts w:hint="eastAsia" w:ascii="仿宋" w:hAnsi="仿宋" w:eastAsia="仿宋" w:cs="仿宋"/>
          <w:b w:val="0"/>
          <w:color w:val="auto"/>
          <w:sz w:val="28"/>
          <w:szCs w:val="28"/>
          <w:u w:val="none"/>
          <w:lang w:val="en-US" w:eastAsia="zh-CN" w:bidi="zh-CN"/>
        </w:rPr>
        <w:t>切实加强了全体教职工师德师风的监督与考核：</w:t>
      </w:r>
      <w:r>
        <w:rPr>
          <w:rFonts w:hint="eastAsia" w:ascii="仿宋" w:hAnsi="仿宋" w:cs="仿宋"/>
          <w:b w:val="0"/>
          <w:color w:val="auto"/>
          <w:sz w:val="28"/>
          <w:szCs w:val="28"/>
          <w:u w:val="none"/>
          <w:lang w:val="en-US" w:eastAsia="zh-CN" w:bidi="zh-CN"/>
        </w:rPr>
        <w:t>组织开展“教育乱收费”问题的专项政治工作；</w:t>
      </w:r>
      <w:r>
        <w:rPr>
          <w:rFonts w:hint="eastAsia" w:ascii="仿宋" w:hAnsi="仿宋" w:eastAsia="仿宋" w:cs="仿宋"/>
          <w:b w:val="0"/>
          <w:color w:val="auto"/>
          <w:sz w:val="28"/>
          <w:szCs w:val="28"/>
          <w:u w:val="none"/>
          <w:lang w:val="en-US" w:eastAsia="zh-CN" w:bidi="zh-CN"/>
        </w:rPr>
        <w:t>严格执行红白喜事报告制度、党员领导干部个人事项报告制度；对课堂教学、学术讲座、社团协会活动等实施严格管控；对</w:t>
      </w:r>
      <w:r>
        <w:rPr>
          <w:rFonts w:hint="eastAsia" w:ascii="仿宋" w:hAnsi="仿宋" w:cs="仿宋"/>
          <w:b w:val="0"/>
          <w:color w:val="auto"/>
          <w:sz w:val="28"/>
          <w:szCs w:val="28"/>
          <w:u w:val="none"/>
          <w:lang w:val="en-US" w:eastAsia="zh-CN" w:bidi="zh-CN"/>
        </w:rPr>
        <w:t>体育部</w:t>
      </w:r>
      <w:r>
        <w:rPr>
          <w:rFonts w:hint="eastAsia" w:ascii="仿宋" w:hAnsi="仿宋" w:eastAsia="仿宋" w:cs="仿宋"/>
          <w:b w:val="0"/>
          <w:color w:val="auto"/>
          <w:sz w:val="28"/>
          <w:szCs w:val="28"/>
          <w:u w:val="none"/>
          <w:lang w:val="en-US" w:eastAsia="zh-CN" w:bidi="zh-CN"/>
        </w:rPr>
        <w:t>网站宣传报道、微信群、QQ群内容严格实行三审制度。此外，积极构建、畅通意见反馈渠道，及时回应、处置各类违规违纪举报，对各类违反师德师风问题实施一票否决。</w:t>
      </w:r>
    </w:p>
    <w:p w14:paraId="2BD5C544">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82" w:name="_Toc30831"/>
      <w:bookmarkStart w:id="83" w:name="_Toc18960"/>
      <w:bookmarkStart w:id="84" w:name="_Toc23626"/>
      <w:r>
        <w:rPr>
          <w:rFonts w:hint="eastAsia" w:ascii="仿宋" w:hAnsi="仿宋" w:eastAsia="仿宋" w:cs="仿宋"/>
          <w:b/>
          <w:bCs/>
          <w:color w:val="auto"/>
          <w:sz w:val="28"/>
          <w:szCs w:val="28"/>
          <w:lang w:val="en-US" w:eastAsia="zh-CN"/>
        </w:rPr>
        <w:t>4.1.2教师争做“四有”好老师，无师德师风问题</w:t>
      </w:r>
      <w:bookmarkEnd w:id="82"/>
      <w:bookmarkEnd w:id="83"/>
      <w:bookmarkEnd w:id="84"/>
    </w:p>
    <w:p w14:paraId="6BB4C956">
      <w:pPr>
        <w:pageBreakBefore w:val="0"/>
        <w:kinsoku/>
        <w:wordWrap/>
        <w:overflowPunct/>
        <w:topLinePunct w:val="0"/>
        <w:bidi w:val="0"/>
        <w:adjustRightInd/>
        <w:snapToGrid/>
        <w:spacing w:line="500" w:lineRule="exact"/>
        <w:ind w:firstLine="560" w:firstLineChars="200"/>
        <w:jc w:val="left"/>
        <w:textAlignment w:val="auto"/>
        <w:rPr>
          <w:rFonts w:hint="eastAsia" w:ascii="仿宋" w:hAnsi="仿宋" w:eastAsia="仿宋" w:cs="仿宋"/>
          <w:b w:val="0"/>
          <w:color w:val="auto"/>
          <w:sz w:val="28"/>
          <w:szCs w:val="28"/>
          <w:u w:val="none"/>
          <w:lang w:val="en-US" w:eastAsia="zh-CN"/>
        </w:rPr>
      </w:pPr>
      <w:r>
        <w:rPr>
          <w:rFonts w:hint="eastAsia" w:ascii="仿宋" w:hAnsi="仿宋" w:eastAsia="仿宋" w:cs="仿宋"/>
          <w:b w:val="0"/>
          <w:color w:val="auto"/>
          <w:sz w:val="28"/>
          <w:szCs w:val="28"/>
          <w:u w:val="none"/>
          <w:lang w:val="en-US" w:eastAsia="zh-CN"/>
        </w:rPr>
        <w:t>近年来，</w:t>
      </w:r>
      <w:r>
        <w:rPr>
          <w:rFonts w:hint="eastAsia" w:ascii="仿宋" w:hAnsi="仿宋" w:cs="仿宋"/>
          <w:b w:val="0"/>
          <w:color w:val="auto"/>
          <w:sz w:val="28"/>
          <w:szCs w:val="28"/>
          <w:u w:val="none"/>
          <w:lang w:val="en-US" w:eastAsia="zh-CN"/>
        </w:rPr>
        <w:t>体育部</w:t>
      </w:r>
      <w:r>
        <w:rPr>
          <w:rFonts w:hint="eastAsia" w:ascii="仿宋" w:hAnsi="仿宋" w:eastAsia="仿宋" w:cs="仿宋"/>
          <w:b w:val="0"/>
          <w:color w:val="auto"/>
          <w:sz w:val="28"/>
          <w:szCs w:val="28"/>
          <w:u w:val="none"/>
          <w:lang w:val="en-US" w:eastAsia="zh-CN"/>
        </w:rPr>
        <w:t>教师争做“四有好老师”、“四个引路人”蔚然成风，人人自觉遵守《新时代高校教师职业行为十项准则》，无违反师德师风问题情况。</w:t>
      </w:r>
      <w:r>
        <w:rPr>
          <w:rFonts w:hint="eastAsia" w:ascii="仿宋" w:hAnsi="仿宋" w:eastAsia="仿宋" w:cs="仿宋"/>
          <w:b w:val="0"/>
          <w:color w:val="auto"/>
          <w:sz w:val="28"/>
          <w:szCs w:val="28"/>
          <w:u w:val="none"/>
          <w:lang w:val="en-US" w:eastAsia="zh-CN" w:bidi="zh-CN"/>
        </w:rPr>
        <w:t>近年</w:t>
      </w:r>
      <w:r>
        <w:rPr>
          <w:rFonts w:hint="eastAsia" w:ascii="仿宋" w:hAnsi="仿宋" w:eastAsia="仿宋" w:cs="仿宋"/>
          <w:b w:val="0"/>
          <w:color w:val="auto"/>
          <w:sz w:val="28"/>
          <w:szCs w:val="28"/>
          <w:u w:val="none"/>
          <w:lang w:val="en-US" w:eastAsia="zh-CN"/>
        </w:rPr>
        <w:t>先后有</w:t>
      </w:r>
      <w:r>
        <w:rPr>
          <w:rFonts w:hint="eastAsia" w:ascii="仿宋" w:hAnsi="仿宋" w:cs="仿宋"/>
          <w:b w:val="0"/>
          <w:color w:val="auto"/>
          <w:sz w:val="28"/>
          <w:szCs w:val="28"/>
          <w:u w:val="none"/>
          <w:lang w:val="en-US" w:eastAsia="zh-CN"/>
        </w:rPr>
        <w:t>廖虎武</w:t>
      </w:r>
      <w:r>
        <w:rPr>
          <w:rFonts w:hint="eastAsia" w:ascii="仿宋" w:hAnsi="仿宋" w:eastAsia="仿宋" w:cs="仿宋"/>
          <w:b w:val="0"/>
          <w:color w:val="auto"/>
          <w:sz w:val="28"/>
          <w:szCs w:val="28"/>
          <w:u w:val="none"/>
          <w:lang w:val="en-US" w:eastAsia="zh-CN"/>
        </w:rPr>
        <w:t>获评“</w:t>
      </w:r>
      <w:r>
        <w:rPr>
          <w:rFonts w:hint="eastAsia" w:ascii="仿宋" w:hAnsi="仿宋" w:cs="仿宋"/>
          <w:b w:val="0"/>
          <w:color w:val="auto"/>
          <w:sz w:val="28"/>
          <w:szCs w:val="28"/>
          <w:u w:val="none"/>
          <w:lang w:val="en-US" w:eastAsia="zh-CN"/>
        </w:rPr>
        <w:t>先进个人</w:t>
      </w:r>
      <w:r>
        <w:rPr>
          <w:rFonts w:hint="eastAsia" w:ascii="仿宋" w:hAnsi="仿宋" w:eastAsia="仿宋" w:cs="仿宋"/>
          <w:b w:val="0"/>
          <w:color w:val="auto"/>
          <w:sz w:val="28"/>
          <w:szCs w:val="28"/>
          <w:u w:val="none"/>
          <w:lang w:val="en-US" w:eastAsia="zh-CN"/>
        </w:rPr>
        <w:t>”</w:t>
      </w:r>
      <w:r>
        <w:rPr>
          <w:rFonts w:hint="eastAsia" w:ascii="仿宋" w:hAnsi="仿宋" w:cs="仿宋"/>
          <w:b w:val="0"/>
          <w:color w:val="auto"/>
          <w:sz w:val="28"/>
          <w:szCs w:val="28"/>
          <w:u w:val="none"/>
          <w:lang w:val="en-US" w:eastAsia="zh-CN"/>
        </w:rPr>
        <w:t>“2022年度体育育人奖”“天心区优秀青年人才”“优秀教师”；樊伟、段佳丽等获学校“课程思政教学竞赛二等奖 ”</w:t>
      </w:r>
      <w:r>
        <w:rPr>
          <w:rFonts w:hint="eastAsia" w:ascii="仿宋" w:hAnsi="仿宋" w:eastAsia="仿宋" w:cs="仿宋"/>
          <w:b w:val="0"/>
          <w:color w:val="auto"/>
          <w:sz w:val="28"/>
          <w:szCs w:val="28"/>
          <w:u w:val="none"/>
          <w:lang w:val="en-US" w:eastAsia="zh-CN"/>
        </w:rPr>
        <w:t>。</w:t>
      </w:r>
    </w:p>
    <w:p w14:paraId="76923FD6">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eastAsia" w:ascii="黑体" w:hAnsi="黑体" w:eastAsia="黑体" w:cs="黑体"/>
          <w:b/>
          <w:bCs/>
          <w:color w:val="auto"/>
          <w:sz w:val="32"/>
          <w:szCs w:val="32"/>
          <w:lang w:val="en-US" w:eastAsia="zh-CN"/>
        </w:rPr>
      </w:pPr>
      <w:bookmarkStart w:id="85" w:name="_Toc16129"/>
      <w:r>
        <w:rPr>
          <w:rFonts w:hint="eastAsia" w:ascii="黑体" w:hAnsi="黑体" w:eastAsia="黑体" w:cs="黑体"/>
          <w:b/>
          <w:bCs/>
          <w:color w:val="auto"/>
          <w:sz w:val="32"/>
          <w:szCs w:val="32"/>
          <w:lang w:val="en-US" w:eastAsia="zh-CN"/>
        </w:rPr>
        <w:t>4.2</w:t>
      </w:r>
      <w:r>
        <w:rPr>
          <w:rFonts w:hint="eastAsia" w:ascii="黑体" w:hAnsi="黑体" w:cs="黑体"/>
          <w:b/>
          <w:bCs/>
          <w:color w:val="auto"/>
          <w:sz w:val="32"/>
          <w:szCs w:val="32"/>
          <w:lang w:val="en-US" w:eastAsia="zh-CN"/>
        </w:rPr>
        <w:t xml:space="preserve"> </w:t>
      </w:r>
      <w:r>
        <w:rPr>
          <w:rFonts w:hint="eastAsia" w:ascii="黑体" w:hAnsi="黑体" w:eastAsia="黑体" w:cs="黑体"/>
          <w:b/>
          <w:bCs/>
          <w:color w:val="auto"/>
          <w:sz w:val="32"/>
          <w:szCs w:val="32"/>
          <w:lang w:val="en-US" w:eastAsia="zh-CN"/>
        </w:rPr>
        <w:t>教学能力</w:t>
      </w:r>
      <w:bookmarkEnd w:id="78"/>
      <w:bookmarkEnd w:id="85"/>
    </w:p>
    <w:p w14:paraId="0EDF182A">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86" w:name="_Toc27445"/>
      <w:bookmarkStart w:id="87" w:name="_Toc23767"/>
      <w:bookmarkStart w:id="88" w:name="_Toc18060"/>
      <w:r>
        <w:rPr>
          <w:rFonts w:hint="eastAsia" w:ascii="仿宋" w:hAnsi="仿宋" w:eastAsia="仿宋" w:cs="仿宋"/>
          <w:b/>
          <w:bCs/>
          <w:color w:val="auto"/>
          <w:sz w:val="28"/>
          <w:szCs w:val="28"/>
          <w:lang w:val="en-US" w:eastAsia="zh-CN"/>
        </w:rPr>
        <w:t>4.2.1提升教师教书育人能力和水平的措施及效果</w:t>
      </w:r>
      <w:bookmarkEnd w:id="86"/>
      <w:bookmarkEnd w:id="87"/>
      <w:bookmarkEnd w:id="88"/>
    </w:p>
    <w:p w14:paraId="1431B90D">
      <w:pPr>
        <w:pStyle w:val="33"/>
        <w:pageBreakBefore w:val="0"/>
        <w:kinsoku/>
        <w:wordWrap/>
        <w:overflowPunct/>
        <w:topLinePunct w:val="0"/>
        <w:bidi w:val="0"/>
        <w:adjustRightInd/>
        <w:snapToGrid/>
        <w:spacing w:line="500" w:lineRule="exact"/>
        <w:ind w:firstLine="560" w:firstLineChars="200"/>
        <w:jc w:val="left"/>
        <w:textAlignment w:val="auto"/>
        <w:rPr>
          <w:rFonts w:hint="eastAsia" w:ascii="仿宋" w:hAnsi="仿宋" w:eastAsia="仿宋" w:cs="仿宋"/>
          <w:b w:val="0"/>
          <w:color w:val="auto"/>
          <w:sz w:val="28"/>
          <w:szCs w:val="28"/>
          <w:u w:val="none"/>
          <w:lang w:val="en-US" w:eastAsia="zh-CN"/>
        </w:rPr>
      </w:pPr>
      <w:r>
        <w:rPr>
          <w:rFonts w:hint="eastAsia" w:ascii="仿宋" w:hAnsi="仿宋" w:eastAsia="仿宋" w:cs="仿宋"/>
          <w:b w:val="0"/>
          <w:color w:val="auto"/>
          <w:sz w:val="28"/>
          <w:szCs w:val="28"/>
          <w:u w:val="none"/>
          <w:lang w:val="en-US" w:eastAsia="zh-CN"/>
        </w:rPr>
        <w:t>体育部制定了《体育部教学质量监控制度》《体育部教学督导岗位职责、工作原则和要求》《体育部教学规范要求》等制度确保教师教书育人和水平。对于新引进的教师安排有经验的教师作为其培养导师，要求新进教师随堂听导师的课不少于20节，导师随堂指导新进年轻教师不少于10次。与此同时，体育部制定了《体育部集体备课制度》《体育部听课评课制度》《体育部教学巡查制度》等，规范我部教师教学过程，落实我院教师教学任务，通过加强课堂的质量监控督促教师及时进行反思总结，从而确保教师教学的持续改进与教学能力的持续性提升。</w:t>
      </w:r>
    </w:p>
    <w:p w14:paraId="01774762">
      <w:pPr>
        <w:pStyle w:val="33"/>
        <w:pageBreakBefore w:val="0"/>
        <w:kinsoku/>
        <w:wordWrap/>
        <w:overflowPunct/>
        <w:topLinePunct w:val="0"/>
        <w:bidi w:val="0"/>
        <w:adjustRightInd/>
        <w:snapToGrid/>
        <w:spacing w:line="500" w:lineRule="exact"/>
        <w:ind w:firstLine="560" w:firstLineChars="200"/>
        <w:jc w:val="left"/>
        <w:textAlignment w:val="auto"/>
        <w:rPr>
          <w:rFonts w:hint="eastAsia" w:ascii="仿宋" w:hAnsi="仿宋" w:eastAsia="仿宋" w:cs="仿宋"/>
          <w:b w:val="0"/>
          <w:color w:val="auto"/>
          <w:sz w:val="28"/>
          <w:szCs w:val="28"/>
          <w:u w:val="none"/>
          <w:lang w:val="en-US" w:eastAsia="zh-CN"/>
        </w:rPr>
      </w:pPr>
      <w:r>
        <w:rPr>
          <w:rFonts w:hint="eastAsia" w:ascii="仿宋" w:hAnsi="仿宋" w:eastAsia="仿宋" w:cs="仿宋"/>
          <w:b w:val="0"/>
          <w:color w:val="auto"/>
          <w:sz w:val="28"/>
          <w:szCs w:val="28"/>
          <w:u w:val="none"/>
          <w:lang w:val="en-US" w:eastAsia="zh-CN"/>
        </w:rPr>
        <w:t>体育部组织和鼓励教师进行专业培训，近两年，我部组织和鼓励教师参加各类培训活动，包括教学技能培训、教育理念研讨等。这些培训旨在提升教师的专业素养和教学能力，使他们能够更好地适应教育教学改革和发展的需要。同时，也邀请国内知名专家学者来校讲学和指导，为教师提供更多的学习机会和资源。我部先后邀请了湖南师范大学教授、博士生导师、博士后指导老师、美国明尼苏达大学双城校区(UMN)博士后刘文锋应邀来我校作“体育科学论文与科研设计思考”主题讲座；邀请广州体育学院原院长，博士生导师许永刚教授作《关于科学研究“问题”的“问题”》 学术讲座。</w:t>
      </w:r>
    </w:p>
    <w:p w14:paraId="444D1306">
      <w:pPr>
        <w:pStyle w:val="33"/>
        <w:pageBreakBefore w:val="0"/>
        <w:kinsoku/>
        <w:wordWrap/>
        <w:overflowPunct/>
        <w:topLinePunct w:val="0"/>
        <w:bidi w:val="0"/>
        <w:adjustRightInd/>
        <w:snapToGrid/>
        <w:spacing w:line="500" w:lineRule="exact"/>
        <w:ind w:firstLine="560" w:firstLineChars="200"/>
        <w:jc w:val="left"/>
        <w:textAlignment w:val="auto"/>
        <w:rPr>
          <w:rFonts w:hint="eastAsia" w:ascii="仿宋" w:hAnsi="仿宋" w:eastAsia="仿宋" w:cs="仿宋"/>
          <w:b w:val="0"/>
          <w:color w:val="auto"/>
          <w:sz w:val="28"/>
          <w:szCs w:val="28"/>
          <w:u w:val="none"/>
          <w:lang w:val="en-US" w:eastAsia="zh-CN"/>
        </w:rPr>
      </w:pPr>
      <w:r>
        <w:rPr>
          <w:rFonts w:hint="eastAsia" w:ascii="仿宋" w:hAnsi="仿宋" w:eastAsia="仿宋" w:cs="仿宋"/>
          <w:b w:val="0"/>
          <w:color w:val="auto"/>
          <w:sz w:val="28"/>
          <w:szCs w:val="28"/>
          <w:u w:val="none"/>
          <w:lang w:val="en-US" w:eastAsia="zh-CN"/>
        </w:rPr>
        <w:t>以上制度与活动确保了教师教书育人能力和水平得到提升。</w:t>
      </w:r>
    </w:p>
    <w:p w14:paraId="259E8A3E">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89" w:name="_Toc26993"/>
      <w:bookmarkStart w:id="90" w:name="_Toc126"/>
      <w:bookmarkStart w:id="91" w:name="_Toc10934"/>
      <w:r>
        <w:rPr>
          <w:rFonts w:hint="eastAsia" w:ascii="仿宋" w:hAnsi="仿宋" w:eastAsia="仿宋" w:cs="仿宋"/>
          <w:b/>
          <w:bCs/>
          <w:color w:val="auto"/>
          <w:sz w:val="28"/>
          <w:szCs w:val="28"/>
          <w:lang w:val="en-US" w:eastAsia="zh-CN"/>
        </w:rPr>
        <w:t>4.2.2专任教师水平高</w:t>
      </w:r>
      <w:bookmarkEnd w:id="89"/>
      <w:bookmarkEnd w:id="90"/>
      <w:bookmarkEnd w:id="91"/>
    </w:p>
    <w:p w14:paraId="1C262B11">
      <w:pPr>
        <w:pStyle w:val="33"/>
        <w:pageBreakBefore w:val="0"/>
        <w:kinsoku/>
        <w:wordWrap/>
        <w:overflowPunct/>
        <w:topLinePunct w:val="0"/>
        <w:bidi w:val="0"/>
        <w:adjustRightInd/>
        <w:snapToGrid/>
        <w:spacing w:line="500" w:lineRule="exact"/>
        <w:ind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体育部教师教学水平整体较高</w:t>
      </w:r>
      <w:r>
        <w:rPr>
          <w:rFonts w:hint="eastAsia" w:ascii="仿宋" w:hAnsi="仿宋" w:eastAsia="仿宋" w:cs="仿宋"/>
          <w:color w:val="auto"/>
          <w:sz w:val="28"/>
          <w:szCs w:val="28"/>
        </w:rPr>
        <w:t>，学生满意度高，在学校教学质量监控与评估中心组织的每学期教师课程教学考核中，我院教师</w:t>
      </w:r>
      <w:r>
        <w:rPr>
          <w:rFonts w:hint="eastAsia" w:ascii="仿宋" w:hAnsi="仿宋" w:eastAsia="仿宋" w:cs="仿宋"/>
          <w:color w:val="auto"/>
          <w:sz w:val="28"/>
          <w:szCs w:val="28"/>
          <w:lang w:val="en-US" w:eastAsia="zh-CN"/>
        </w:rPr>
        <w:t>的优良率达到100%</w:t>
      </w:r>
      <w:r>
        <w:rPr>
          <w:rFonts w:hint="eastAsia" w:ascii="仿宋" w:hAnsi="仿宋" w:eastAsia="仿宋" w:cs="仿宋"/>
          <w:color w:val="auto"/>
          <w:sz w:val="28"/>
          <w:szCs w:val="28"/>
        </w:rPr>
        <w:t>。</w:t>
      </w:r>
    </w:p>
    <w:p w14:paraId="30ADC4BA">
      <w:pPr>
        <w:pStyle w:val="33"/>
        <w:pageBreakBefore w:val="0"/>
        <w:kinsoku/>
        <w:wordWrap/>
        <w:overflowPunct/>
        <w:bidi w:val="0"/>
        <w:spacing w:line="317" w:lineRule="auto"/>
        <w:ind w:firstLine="480"/>
        <w:jc w:val="center"/>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近两年体育部教师优良率统计表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992"/>
        <w:gridCol w:w="1180"/>
        <w:gridCol w:w="906"/>
        <w:gridCol w:w="936"/>
        <w:gridCol w:w="825"/>
        <w:gridCol w:w="968"/>
        <w:gridCol w:w="1144"/>
      </w:tblGrid>
      <w:tr w14:paraId="5705C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restart"/>
            <w:vAlign w:val="center"/>
          </w:tcPr>
          <w:p w14:paraId="260DB047">
            <w:pPr>
              <w:pStyle w:val="3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学期</w:t>
            </w:r>
          </w:p>
        </w:tc>
        <w:tc>
          <w:tcPr>
            <w:tcW w:w="992" w:type="dxa"/>
            <w:vMerge w:val="restart"/>
            <w:vAlign w:val="center"/>
          </w:tcPr>
          <w:p w14:paraId="7D0F2E6B">
            <w:pPr>
              <w:pStyle w:val="3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教师</w:t>
            </w:r>
          </w:p>
          <w:p w14:paraId="51C71C0F">
            <w:pPr>
              <w:pStyle w:val="3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人数</w:t>
            </w:r>
          </w:p>
        </w:tc>
        <w:tc>
          <w:tcPr>
            <w:tcW w:w="1180" w:type="dxa"/>
            <w:vMerge w:val="restart"/>
            <w:vAlign w:val="center"/>
          </w:tcPr>
          <w:p w14:paraId="77B93272">
            <w:pPr>
              <w:pStyle w:val="3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平均分</w:t>
            </w:r>
          </w:p>
        </w:tc>
        <w:tc>
          <w:tcPr>
            <w:tcW w:w="1842" w:type="dxa"/>
            <w:gridSpan w:val="2"/>
            <w:vAlign w:val="center"/>
          </w:tcPr>
          <w:p w14:paraId="593B4B0C">
            <w:pPr>
              <w:pStyle w:val="3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优秀</w:t>
            </w:r>
          </w:p>
        </w:tc>
        <w:tc>
          <w:tcPr>
            <w:tcW w:w="1793" w:type="dxa"/>
            <w:gridSpan w:val="2"/>
            <w:vAlign w:val="center"/>
          </w:tcPr>
          <w:p w14:paraId="4384D089">
            <w:pPr>
              <w:pStyle w:val="3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良好</w:t>
            </w:r>
          </w:p>
        </w:tc>
        <w:tc>
          <w:tcPr>
            <w:tcW w:w="1144" w:type="dxa"/>
            <w:vMerge w:val="restart"/>
            <w:vAlign w:val="center"/>
          </w:tcPr>
          <w:p w14:paraId="04936B2B">
            <w:pPr>
              <w:pStyle w:val="3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优良率</w:t>
            </w:r>
          </w:p>
        </w:tc>
      </w:tr>
      <w:tr w14:paraId="3ABE2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continue"/>
            <w:vAlign w:val="center"/>
          </w:tcPr>
          <w:p w14:paraId="5ECCF37C">
            <w:pPr>
              <w:pStyle w:val="3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olor w:val="auto"/>
                <w:sz w:val="24"/>
                <w:szCs w:val="24"/>
                <w:vertAlign w:val="baseline"/>
                <w:lang w:val="en-US" w:eastAsia="zh-CN"/>
              </w:rPr>
            </w:pPr>
          </w:p>
        </w:tc>
        <w:tc>
          <w:tcPr>
            <w:tcW w:w="992" w:type="dxa"/>
            <w:vMerge w:val="continue"/>
            <w:vAlign w:val="center"/>
          </w:tcPr>
          <w:p w14:paraId="0A8DA049">
            <w:pPr>
              <w:pStyle w:val="3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olor w:val="auto"/>
                <w:sz w:val="24"/>
                <w:szCs w:val="24"/>
                <w:vertAlign w:val="baseline"/>
                <w:lang w:val="en-US" w:eastAsia="zh-CN"/>
              </w:rPr>
            </w:pPr>
          </w:p>
        </w:tc>
        <w:tc>
          <w:tcPr>
            <w:tcW w:w="1180" w:type="dxa"/>
            <w:vMerge w:val="continue"/>
            <w:vAlign w:val="center"/>
          </w:tcPr>
          <w:p w14:paraId="5C989D07">
            <w:pPr>
              <w:pStyle w:val="3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olor w:val="auto"/>
                <w:sz w:val="24"/>
                <w:szCs w:val="24"/>
                <w:vertAlign w:val="baseline"/>
                <w:lang w:val="en-US" w:eastAsia="zh-CN"/>
              </w:rPr>
            </w:pPr>
          </w:p>
        </w:tc>
        <w:tc>
          <w:tcPr>
            <w:tcW w:w="906" w:type="dxa"/>
            <w:vAlign w:val="center"/>
          </w:tcPr>
          <w:p w14:paraId="589307A2">
            <w:pPr>
              <w:pStyle w:val="3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人数</w:t>
            </w:r>
          </w:p>
        </w:tc>
        <w:tc>
          <w:tcPr>
            <w:tcW w:w="936" w:type="dxa"/>
            <w:vAlign w:val="center"/>
          </w:tcPr>
          <w:p w14:paraId="4C9D78EE">
            <w:pPr>
              <w:pStyle w:val="3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占比</w:t>
            </w:r>
          </w:p>
        </w:tc>
        <w:tc>
          <w:tcPr>
            <w:tcW w:w="825" w:type="dxa"/>
            <w:vAlign w:val="center"/>
          </w:tcPr>
          <w:p w14:paraId="2F0677D2">
            <w:pPr>
              <w:pStyle w:val="3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人数</w:t>
            </w:r>
          </w:p>
        </w:tc>
        <w:tc>
          <w:tcPr>
            <w:tcW w:w="968" w:type="dxa"/>
            <w:vAlign w:val="center"/>
          </w:tcPr>
          <w:p w14:paraId="2A3F95D0">
            <w:pPr>
              <w:pStyle w:val="3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占比</w:t>
            </w:r>
          </w:p>
        </w:tc>
        <w:tc>
          <w:tcPr>
            <w:tcW w:w="1144" w:type="dxa"/>
            <w:vMerge w:val="continue"/>
            <w:vAlign w:val="center"/>
          </w:tcPr>
          <w:p w14:paraId="2C883097">
            <w:pPr>
              <w:pStyle w:val="3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vertAlign w:val="baseline"/>
                <w:lang w:val="en-US" w:eastAsia="zh-CN"/>
              </w:rPr>
            </w:pPr>
          </w:p>
        </w:tc>
      </w:tr>
      <w:tr w14:paraId="31B6A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Align w:val="center"/>
          </w:tcPr>
          <w:p w14:paraId="36B04646">
            <w:pPr>
              <w:pStyle w:val="3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22-23-1</w:t>
            </w:r>
          </w:p>
        </w:tc>
        <w:tc>
          <w:tcPr>
            <w:tcW w:w="992" w:type="dxa"/>
            <w:vAlign w:val="center"/>
          </w:tcPr>
          <w:p w14:paraId="2FCBCF1B">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仿宋" w:hAnsi="仿宋" w:eastAsia="仿宋" w:cs="仿宋"/>
                <w:color w:val="auto"/>
                <w:sz w:val="24"/>
                <w:szCs w:val="24"/>
                <w:vertAlign w:val="baseline"/>
                <w:lang w:val="en-US" w:eastAsia="zh-CN"/>
              </w:rPr>
            </w:pPr>
            <w:r>
              <w:rPr>
                <w:rFonts w:hint="eastAsia" w:ascii="仿宋" w:hAnsi="仿宋" w:cs="仿宋"/>
                <w:color w:val="auto"/>
                <w:sz w:val="24"/>
                <w:szCs w:val="24"/>
                <w:vertAlign w:val="baseline"/>
                <w:lang w:val="en-US" w:eastAsia="zh-CN"/>
              </w:rPr>
              <w:t>16</w:t>
            </w:r>
          </w:p>
        </w:tc>
        <w:tc>
          <w:tcPr>
            <w:tcW w:w="1180" w:type="dxa"/>
            <w:vAlign w:val="center"/>
          </w:tcPr>
          <w:p w14:paraId="6CC3FBD7">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90.</w:t>
            </w:r>
            <w:r>
              <w:rPr>
                <w:rFonts w:hint="eastAsia" w:ascii="仿宋" w:hAnsi="仿宋" w:cs="仿宋"/>
                <w:color w:val="auto"/>
                <w:sz w:val="24"/>
                <w:szCs w:val="24"/>
                <w:vertAlign w:val="baseline"/>
                <w:lang w:val="en-US" w:eastAsia="zh-CN"/>
              </w:rPr>
              <w:t>95</w:t>
            </w:r>
          </w:p>
        </w:tc>
        <w:tc>
          <w:tcPr>
            <w:tcW w:w="906" w:type="dxa"/>
            <w:vAlign w:val="center"/>
          </w:tcPr>
          <w:p w14:paraId="30CF6404">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仿宋" w:hAnsi="仿宋" w:eastAsia="仿宋" w:cs="仿宋"/>
                <w:color w:val="auto"/>
                <w:sz w:val="24"/>
                <w:szCs w:val="24"/>
                <w:vertAlign w:val="baseline"/>
                <w:lang w:val="en-US" w:eastAsia="zh-CN"/>
              </w:rPr>
            </w:pPr>
            <w:r>
              <w:rPr>
                <w:rFonts w:hint="eastAsia" w:ascii="仿宋" w:hAnsi="仿宋" w:cs="仿宋"/>
                <w:color w:val="auto"/>
                <w:sz w:val="24"/>
                <w:szCs w:val="24"/>
                <w:vertAlign w:val="baseline"/>
                <w:lang w:val="en-US" w:eastAsia="zh-CN"/>
              </w:rPr>
              <w:t>12</w:t>
            </w:r>
          </w:p>
        </w:tc>
        <w:tc>
          <w:tcPr>
            <w:tcW w:w="936" w:type="dxa"/>
            <w:vAlign w:val="center"/>
          </w:tcPr>
          <w:p w14:paraId="361CDA3D">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vertAlign w:val="baseline"/>
                <w:lang w:val="en-US" w:eastAsia="zh-CN"/>
              </w:rPr>
            </w:pPr>
            <w:r>
              <w:rPr>
                <w:rFonts w:hint="eastAsia" w:ascii="仿宋" w:hAnsi="仿宋" w:cs="仿宋"/>
                <w:color w:val="auto"/>
                <w:sz w:val="24"/>
                <w:szCs w:val="24"/>
                <w:vertAlign w:val="baseline"/>
                <w:lang w:val="en-US" w:eastAsia="zh-CN"/>
              </w:rPr>
              <w:t>75</w:t>
            </w:r>
            <w:r>
              <w:rPr>
                <w:rFonts w:hint="eastAsia" w:ascii="仿宋" w:hAnsi="仿宋" w:eastAsia="仿宋" w:cs="仿宋"/>
                <w:color w:val="auto"/>
                <w:sz w:val="24"/>
                <w:szCs w:val="24"/>
                <w:vertAlign w:val="baseline"/>
                <w:lang w:val="en-US" w:eastAsia="zh-CN"/>
              </w:rPr>
              <w:t>%</w:t>
            </w:r>
          </w:p>
        </w:tc>
        <w:tc>
          <w:tcPr>
            <w:tcW w:w="825" w:type="dxa"/>
            <w:vAlign w:val="center"/>
          </w:tcPr>
          <w:p w14:paraId="6A5141A4">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vertAlign w:val="baseline"/>
                <w:lang w:val="en-US" w:eastAsia="zh-CN"/>
              </w:rPr>
            </w:pPr>
            <w:r>
              <w:rPr>
                <w:rFonts w:hint="eastAsia" w:ascii="仿宋" w:hAnsi="仿宋" w:cs="仿宋"/>
                <w:color w:val="auto"/>
                <w:sz w:val="24"/>
                <w:szCs w:val="24"/>
                <w:vertAlign w:val="baseline"/>
                <w:lang w:val="en-US" w:eastAsia="zh-CN"/>
              </w:rPr>
              <w:t>4</w:t>
            </w:r>
          </w:p>
        </w:tc>
        <w:tc>
          <w:tcPr>
            <w:tcW w:w="968" w:type="dxa"/>
            <w:vAlign w:val="center"/>
          </w:tcPr>
          <w:p w14:paraId="55135BC3">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vertAlign w:val="baseline"/>
                <w:lang w:val="en-US" w:eastAsia="zh-CN"/>
              </w:rPr>
            </w:pPr>
            <w:r>
              <w:rPr>
                <w:rFonts w:hint="eastAsia" w:ascii="仿宋" w:hAnsi="仿宋" w:cs="仿宋"/>
                <w:color w:val="auto"/>
                <w:sz w:val="24"/>
                <w:szCs w:val="24"/>
                <w:vertAlign w:val="baseline"/>
                <w:lang w:val="en-US" w:eastAsia="zh-CN"/>
              </w:rPr>
              <w:t>25</w:t>
            </w:r>
            <w:r>
              <w:rPr>
                <w:rFonts w:hint="eastAsia" w:ascii="仿宋" w:hAnsi="仿宋" w:eastAsia="仿宋" w:cs="仿宋"/>
                <w:color w:val="auto"/>
                <w:sz w:val="24"/>
                <w:szCs w:val="24"/>
                <w:vertAlign w:val="baseline"/>
                <w:lang w:val="en-US" w:eastAsia="zh-CN"/>
              </w:rPr>
              <w:t>%</w:t>
            </w:r>
          </w:p>
        </w:tc>
        <w:tc>
          <w:tcPr>
            <w:tcW w:w="1144" w:type="dxa"/>
            <w:vAlign w:val="center"/>
          </w:tcPr>
          <w:p w14:paraId="614B1E5E">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r>
      <w:tr w14:paraId="5F028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Align w:val="center"/>
          </w:tcPr>
          <w:p w14:paraId="40959500">
            <w:pPr>
              <w:pStyle w:val="3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22-23-2</w:t>
            </w:r>
          </w:p>
        </w:tc>
        <w:tc>
          <w:tcPr>
            <w:tcW w:w="992" w:type="dxa"/>
            <w:vAlign w:val="center"/>
          </w:tcPr>
          <w:p w14:paraId="7EBA0EEE">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仿宋" w:hAnsi="仿宋" w:eastAsia="仿宋" w:cs="仿宋"/>
                <w:color w:val="auto"/>
                <w:sz w:val="24"/>
                <w:szCs w:val="24"/>
                <w:vertAlign w:val="baseline"/>
                <w:lang w:val="en-US" w:eastAsia="zh-CN"/>
              </w:rPr>
            </w:pPr>
            <w:r>
              <w:rPr>
                <w:rFonts w:hint="eastAsia" w:ascii="仿宋" w:hAnsi="仿宋" w:cs="仿宋"/>
                <w:color w:val="auto"/>
                <w:sz w:val="24"/>
                <w:szCs w:val="24"/>
                <w:lang w:val="en-US" w:eastAsia="zh-CN"/>
              </w:rPr>
              <w:t>16</w:t>
            </w:r>
          </w:p>
        </w:tc>
        <w:tc>
          <w:tcPr>
            <w:tcW w:w="1180" w:type="dxa"/>
            <w:vAlign w:val="center"/>
          </w:tcPr>
          <w:p w14:paraId="1F1FD278">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90.</w:t>
            </w:r>
            <w:r>
              <w:rPr>
                <w:rFonts w:hint="eastAsia" w:ascii="仿宋" w:hAnsi="仿宋" w:cs="仿宋"/>
                <w:color w:val="auto"/>
                <w:sz w:val="24"/>
                <w:szCs w:val="24"/>
                <w:vertAlign w:val="baseline"/>
                <w:lang w:val="en-US" w:eastAsia="zh-CN"/>
              </w:rPr>
              <w:t>97</w:t>
            </w:r>
          </w:p>
        </w:tc>
        <w:tc>
          <w:tcPr>
            <w:tcW w:w="906" w:type="dxa"/>
            <w:vAlign w:val="center"/>
          </w:tcPr>
          <w:p w14:paraId="53C9FDF1">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仿宋" w:hAnsi="仿宋" w:eastAsia="仿宋" w:cs="仿宋"/>
                <w:color w:val="auto"/>
                <w:sz w:val="24"/>
                <w:szCs w:val="24"/>
                <w:vertAlign w:val="baseline"/>
                <w:lang w:val="en-US" w:eastAsia="zh-CN"/>
              </w:rPr>
            </w:pPr>
            <w:r>
              <w:rPr>
                <w:rFonts w:hint="eastAsia" w:ascii="仿宋" w:hAnsi="仿宋" w:cs="仿宋"/>
                <w:color w:val="auto"/>
                <w:sz w:val="24"/>
                <w:szCs w:val="24"/>
                <w:vertAlign w:val="baseline"/>
                <w:lang w:val="en-US" w:eastAsia="zh-CN"/>
              </w:rPr>
              <w:t>12</w:t>
            </w:r>
          </w:p>
        </w:tc>
        <w:tc>
          <w:tcPr>
            <w:tcW w:w="936" w:type="dxa"/>
            <w:vAlign w:val="center"/>
          </w:tcPr>
          <w:p w14:paraId="198C655B">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vertAlign w:val="baseline"/>
                <w:lang w:val="en-US" w:eastAsia="zh-CN"/>
              </w:rPr>
            </w:pPr>
            <w:r>
              <w:rPr>
                <w:rFonts w:hint="eastAsia" w:ascii="仿宋" w:hAnsi="仿宋" w:cs="仿宋"/>
                <w:color w:val="auto"/>
                <w:sz w:val="24"/>
                <w:szCs w:val="24"/>
                <w:lang w:val="en-US" w:eastAsia="zh-CN"/>
              </w:rPr>
              <w:t>75</w:t>
            </w:r>
            <w:r>
              <w:rPr>
                <w:rFonts w:hint="eastAsia" w:ascii="仿宋" w:hAnsi="仿宋" w:eastAsia="仿宋" w:cs="仿宋"/>
                <w:color w:val="auto"/>
                <w:sz w:val="24"/>
                <w:szCs w:val="24"/>
                <w:lang w:val="en-US" w:eastAsia="zh-CN"/>
              </w:rPr>
              <w:t>%</w:t>
            </w:r>
          </w:p>
        </w:tc>
        <w:tc>
          <w:tcPr>
            <w:tcW w:w="825" w:type="dxa"/>
            <w:vAlign w:val="center"/>
          </w:tcPr>
          <w:p w14:paraId="08B8BE32">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vertAlign w:val="baseline"/>
                <w:lang w:val="en-US" w:eastAsia="zh-CN"/>
              </w:rPr>
            </w:pPr>
            <w:r>
              <w:rPr>
                <w:rFonts w:hint="eastAsia" w:ascii="仿宋" w:hAnsi="仿宋" w:cs="仿宋"/>
                <w:color w:val="auto"/>
                <w:sz w:val="24"/>
                <w:szCs w:val="24"/>
                <w:vertAlign w:val="baseline"/>
                <w:lang w:val="en-US" w:eastAsia="zh-CN"/>
              </w:rPr>
              <w:t>2</w:t>
            </w:r>
          </w:p>
        </w:tc>
        <w:tc>
          <w:tcPr>
            <w:tcW w:w="968" w:type="dxa"/>
            <w:vAlign w:val="center"/>
          </w:tcPr>
          <w:p w14:paraId="5E4B9727">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vertAlign w:val="baseline"/>
                <w:lang w:val="en-US" w:eastAsia="zh-CN"/>
              </w:rPr>
            </w:pPr>
            <w:r>
              <w:rPr>
                <w:rFonts w:hint="eastAsia" w:ascii="仿宋" w:hAnsi="仿宋" w:cs="仿宋"/>
                <w:color w:val="auto"/>
                <w:sz w:val="24"/>
                <w:szCs w:val="24"/>
                <w:lang w:val="en-US" w:eastAsia="zh-CN"/>
              </w:rPr>
              <w:t>25</w:t>
            </w:r>
            <w:r>
              <w:rPr>
                <w:rFonts w:hint="eastAsia" w:ascii="仿宋" w:hAnsi="仿宋" w:eastAsia="仿宋" w:cs="仿宋"/>
                <w:color w:val="auto"/>
                <w:sz w:val="24"/>
                <w:szCs w:val="24"/>
                <w:lang w:val="en-US" w:eastAsia="zh-CN"/>
              </w:rPr>
              <w:t>%</w:t>
            </w:r>
          </w:p>
        </w:tc>
        <w:tc>
          <w:tcPr>
            <w:tcW w:w="1144" w:type="dxa"/>
            <w:vAlign w:val="center"/>
          </w:tcPr>
          <w:p w14:paraId="45299009">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lang w:val="en-US" w:eastAsia="zh-CN"/>
              </w:rPr>
              <w:t>100%</w:t>
            </w:r>
          </w:p>
        </w:tc>
      </w:tr>
      <w:tr w14:paraId="1B8C3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Align w:val="center"/>
          </w:tcPr>
          <w:p w14:paraId="024245EE">
            <w:pPr>
              <w:pStyle w:val="3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23-24-1</w:t>
            </w:r>
          </w:p>
        </w:tc>
        <w:tc>
          <w:tcPr>
            <w:tcW w:w="992" w:type="dxa"/>
            <w:vAlign w:val="center"/>
          </w:tcPr>
          <w:p w14:paraId="2D20139D">
            <w:pPr>
              <w:pStyle w:val="3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18</w:t>
            </w:r>
          </w:p>
        </w:tc>
        <w:tc>
          <w:tcPr>
            <w:tcW w:w="1180" w:type="dxa"/>
            <w:vAlign w:val="center"/>
          </w:tcPr>
          <w:p w14:paraId="753A96A4">
            <w:pPr>
              <w:pStyle w:val="3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90.88</w:t>
            </w:r>
          </w:p>
        </w:tc>
        <w:tc>
          <w:tcPr>
            <w:tcW w:w="906" w:type="dxa"/>
            <w:vAlign w:val="center"/>
          </w:tcPr>
          <w:p w14:paraId="047BE28A">
            <w:pPr>
              <w:pStyle w:val="3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16</w:t>
            </w:r>
          </w:p>
        </w:tc>
        <w:tc>
          <w:tcPr>
            <w:tcW w:w="936" w:type="dxa"/>
            <w:vAlign w:val="center"/>
          </w:tcPr>
          <w:p w14:paraId="7A340FCB">
            <w:pPr>
              <w:pStyle w:val="3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88.89%</w:t>
            </w:r>
          </w:p>
        </w:tc>
        <w:tc>
          <w:tcPr>
            <w:tcW w:w="825" w:type="dxa"/>
            <w:vAlign w:val="center"/>
          </w:tcPr>
          <w:p w14:paraId="605726AE">
            <w:pPr>
              <w:pStyle w:val="3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w:t>
            </w:r>
          </w:p>
        </w:tc>
        <w:tc>
          <w:tcPr>
            <w:tcW w:w="968" w:type="dxa"/>
            <w:vAlign w:val="center"/>
          </w:tcPr>
          <w:p w14:paraId="58302F0C">
            <w:pPr>
              <w:pStyle w:val="3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11.11%</w:t>
            </w:r>
          </w:p>
        </w:tc>
        <w:tc>
          <w:tcPr>
            <w:tcW w:w="1144" w:type="dxa"/>
            <w:vAlign w:val="center"/>
          </w:tcPr>
          <w:p w14:paraId="40EFB3AB">
            <w:pPr>
              <w:pStyle w:val="3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r>
      <w:tr w14:paraId="52980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Align w:val="center"/>
          </w:tcPr>
          <w:p w14:paraId="662418FA">
            <w:pPr>
              <w:pStyle w:val="3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23-24-2</w:t>
            </w:r>
          </w:p>
        </w:tc>
        <w:tc>
          <w:tcPr>
            <w:tcW w:w="992" w:type="dxa"/>
            <w:vAlign w:val="center"/>
          </w:tcPr>
          <w:p w14:paraId="3A0E494C">
            <w:pPr>
              <w:pStyle w:val="3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21</w:t>
            </w:r>
          </w:p>
        </w:tc>
        <w:tc>
          <w:tcPr>
            <w:tcW w:w="1180" w:type="dxa"/>
            <w:vAlign w:val="center"/>
          </w:tcPr>
          <w:p w14:paraId="692420E5">
            <w:pPr>
              <w:pStyle w:val="3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90.68</w:t>
            </w:r>
          </w:p>
        </w:tc>
        <w:tc>
          <w:tcPr>
            <w:tcW w:w="906" w:type="dxa"/>
            <w:vAlign w:val="center"/>
          </w:tcPr>
          <w:p w14:paraId="1F6D7DE4">
            <w:pPr>
              <w:pStyle w:val="3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14</w:t>
            </w:r>
          </w:p>
        </w:tc>
        <w:tc>
          <w:tcPr>
            <w:tcW w:w="936" w:type="dxa"/>
            <w:vAlign w:val="center"/>
          </w:tcPr>
          <w:p w14:paraId="09F17AC5">
            <w:pPr>
              <w:pStyle w:val="3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66.67%</w:t>
            </w:r>
          </w:p>
        </w:tc>
        <w:tc>
          <w:tcPr>
            <w:tcW w:w="825" w:type="dxa"/>
            <w:vAlign w:val="center"/>
          </w:tcPr>
          <w:p w14:paraId="012CADF4">
            <w:pPr>
              <w:pStyle w:val="3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7</w:t>
            </w:r>
          </w:p>
        </w:tc>
        <w:tc>
          <w:tcPr>
            <w:tcW w:w="968" w:type="dxa"/>
            <w:vAlign w:val="center"/>
          </w:tcPr>
          <w:p w14:paraId="2334ADCA">
            <w:pPr>
              <w:pStyle w:val="3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33.33%</w:t>
            </w:r>
          </w:p>
        </w:tc>
        <w:tc>
          <w:tcPr>
            <w:tcW w:w="1144" w:type="dxa"/>
            <w:vAlign w:val="center"/>
          </w:tcPr>
          <w:p w14:paraId="7136053F">
            <w:pPr>
              <w:pStyle w:val="3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r>
    </w:tbl>
    <w:p w14:paraId="0AD3E2E5">
      <w:pPr>
        <w:pStyle w:val="33"/>
        <w:pageBreakBefore w:val="0"/>
        <w:kinsoku/>
        <w:wordWrap/>
        <w:overflowPunct/>
        <w:topLinePunct w:val="0"/>
        <w:bidi w:val="0"/>
        <w:adjustRightInd/>
        <w:snapToGrid/>
        <w:spacing w:line="500" w:lineRule="exact"/>
        <w:ind w:firstLine="480"/>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樊伟教授</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李照清教授入选</w:t>
      </w:r>
      <w:r>
        <w:rPr>
          <w:rFonts w:hint="eastAsia" w:ascii="仿宋" w:hAnsi="仿宋" w:eastAsia="仿宋" w:cs="仿宋"/>
          <w:color w:val="auto"/>
          <w:sz w:val="28"/>
          <w:szCs w:val="28"/>
          <w:lang w:eastAsia="zh-CN"/>
        </w:rPr>
        <w:t>学校高层次的“睿智人才”，</w:t>
      </w:r>
      <w:r>
        <w:rPr>
          <w:rFonts w:hint="eastAsia" w:ascii="仿宋" w:hAnsi="仿宋" w:eastAsia="仿宋" w:cs="仿宋"/>
          <w:color w:val="auto"/>
          <w:sz w:val="28"/>
          <w:szCs w:val="28"/>
          <w:lang w:val="en-US" w:eastAsia="zh-CN"/>
        </w:rPr>
        <w:t>全员所有教师均为本科生授课。在近两年学校评定的年度教学质量优秀奖中我部段佳丽获得二等奖，王庆云、廖虎武获得三等奖。年轻教师两年来脱颖而出，在多项教学比赛中均有不俗的表现，例如唐悦悦、崔游、林姝洁老师已经成长为骨干教师。体育部教师</w:t>
      </w:r>
      <w:r>
        <w:rPr>
          <w:rFonts w:hint="eastAsia" w:ascii="仿宋" w:hAnsi="仿宋" w:eastAsia="仿宋" w:cs="仿宋"/>
          <w:color w:val="auto"/>
          <w:sz w:val="28"/>
          <w:szCs w:val="28"/>
          <w:lang w:eastAsia="zh-CN"/>
        </w:rPr>
        <w:t>获得各类教学奖励达</w:t>
      </w:r>
      <w:r>
        <w:rPr>
          <w:rFonts w:hint="eastAsia" w:ascii="仿宋" w:hAnsi="仿宋" w:eastAsia="仿宋" w:cs="仿宋"/>
          <w:color w:val="auto"/>
          <w:sz w:val="28"/>
          <w:szCs w:val="28"/>
          <w:lang w:val="en-US" w:eastAsia="zh-CN"/>
        </w:rPr>
        <w:t>20多项，指导学生参加各类比赛获奖达百余项次，廖虎武获得省级高校体育教师课堂比赛一等奖，省级体育育人奖；段佳丽、李韬分别获得省级高校体育教师课堂比赛二等奖和三等奖。</w:t>
      </w:r>
    </w:p>
    <w:p w14:paraId="7A945032">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eastAsia" w:ascii="黑体" w:hAnsi="黑体" w:eastAsia="黑体" w:cs="黑体"/>
          <w:b/>
          <w:bCs/>
          <w:color w:val="auto"/>
          <w:sz w:val="32"/>
          <w:szCs w:val="32"/>
          <w:lang w:val="en-US" w:eastAsia="zh-CN"/>
        </w:rPr>
      </w:pPr>
      <w:bookmarkStart w:id="92" w:name="_Toc15620"/>
      <w:bookmarkStart w:id="93" w:name="_Toc28198"/>
      <w:r>
        <w:rPr>
          <w:rFonts w:hint="eastAsia" w:ascii="黑体" w:hAnsi="黑体" w:eastAsia="黑体" w:cs="黑体"/>
          <w:b/>
          <w:bCs/>
          <w:color w:val="auto"/>
          <w:sz w:val="32"/>
          <w:szCs w:val="32"/>
          <w:lang w:val="en-US" w:eastAsia="zh-CN"/>
        </w:rPr>
        <w:t>4.3</w:t>
      </w:r>
      <w:r>
        <w:rPr>
          <w:rFonts w:hint="eastAsia" w:ascii="黑体" w:hAnsi="黑体" w:cs="黑体"/>
          <w:b/>
          <w:bCs/>
          <w:color w:val="auto"/>
          <w:sz w:val="32"/>
          <w:szCs w:val="32"/>
          <w:lang w:val="en-US" w:eastAsia="zh-CN"/>
        </w:rPr>
        <w:t xml:space="preserve"> </w:t>
      </w:r>
      <w:r>
        <w:rPr>
          <w:rFonts w:hint="eastAsia" w:ascii="黑体" w:hAnsi="黑体" w:eastAsia="黑体" w:cs="黑体"/>
          <w:b/>
          <w:bCs/>
          <w:color w:val="auto"/>
          <w:sz w:val="32"/>
          <w:szCs w:val="32"/>
          <w:lang w:val="en-US" w:eastAsia="zh-CN"/>
        </w:rPr>
        <w:t>教师投入教学措施</w:t>
      </w:r>
      <w:bookmarkEnd w:id="92"/>
      <w:bookmarkEnd w:id="93"/>
    </w:p>
    <w:p w14:paraId="736F8D65">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94" w:name="_Toc19182"/>
      <w:bookmarkStart w:id="95" w:name="_Toc27419"/>
      <w:bookmarkStart w:id="96" w:name="_Toc6039"/>
      <w:r>
        <w:rPr>
          <w:rFonts w:hint="eastAsia" w:ascii="仿宋" w:hAnsi="仿宋" w:eastAsia="仿宋" w:cs="仿宋"/>
          <w:b/>
          <w:bCs/>
          <w:color w:val="auto"/>
          <w:sz w:val="28"/>
          <w:szCs w:val="28"/>
          <w:lang w:val="en-US" w:eastAsia="zh-CN"/>
        </w:rPr>
        <w:t>4.3.1教师积极投入教学</w:t>
      </w:r>
      <w:bookmarkEnd w:id="94"/>
      <w:bookmarkEnd w:id="95"/>
      <w:bookmarkEnd w:id="96"/>
    </w:p>
    <w:p w14:paraId="4EEB5D3E">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b w:val="0"/>
          <w:color w:val="auto"/>
          <w:sz w:val="28"/>
          <w:szCs w:val="28"/>
          <w:u w:val="none"/>
          <w:lang w:val="en-US" w:eastAsia="zh-CN"/>
        </w:rPr>
      </w:pPr>
      <w:r>
        <w:rPr>
          <w:rFonts w:hint="eastAsia" w:ascii="仿宋" w:hAnsi="仿宋" w:cs="仿宋"/>
          <w:b w:val="0"/>
          <w:color w:val="auto"/>
          <w:sz w:val="28"/>
          <w:szCs w:val="28"/>
          <w:u w:val="none"/>
          <w:lang w:val="en-US" w:eastAsia="zh-CN"/>
        </w:rPr>
        <w:t>体育部</w:t>
      </w:r>
      <w:r>
        <w:rPr>
          <w:rFonts w:hint="eastAsia" w:ascii="仿宋" w:hAnsi="仿宋" w:eastAsia="仿宋" w:cs="仿宋"/>
          <w:b w:val="0"/>
          <w:color w:val="auto"/>
          <w:sz w:val="28"/>
          <w:szCs w:val="28"/>
          <w:u w:val="none"/>
          <w:lang w:val="en-US" w:eastAsia="zh-CN"/>
        </w:rPr>
        <w:t>高度重视本科教学，</w:t>
      </w:r>
      <w:r>
        <w:rPr>
          <w:rFonts w:hint="eastAsia" w:ascii="仿宋" w:hAnsi="仿宋" w:eastAsia="仿宋" w:cs="仿宋"/>
          <w:color w:val="auto"/>
          <w:sz w:val="28"/>
          <w:szCs w:val="28"/>
          <w:lang w:eastAsia="zh-CN"/>
        </w:rPr>
        <w:t>健全各项规章制度，</w:t>
      </w:r>
      <w:r>
        <w:rPr>
          <w:rFonts w:hint="eastAsia" w:ascii="仿宋" w:hAnsi="仿宋" w:eastAsia="仿宋" w:cs="仿宋"/>
          <w:color w:val="auto"/>
          <w:sz w:val="28"/>
          <w:szCs w:val="28"/>
          <w:lang w:val="en-US" w:eastAsia="zh-CN"/>
        </w:rPr>
        <w:t>严把教师教学投入的底线关</w:t>
      </w:r>
      <w:r>
        <w:rPr>
          <w:rFonts w:hint="eastAsia" w:ascii="仿宋" w:hAnsi="仿宋" w:eastAsia="仿宋" w:cs="仿宋"/>
          <w:color w:val="auto"/>
          <w:sz w:val="28"/>
          <w:szCs w:val="28"/>
          <w:lang w:eastAsia="zh-CN"/>
        </w:rPr>
        <w:t>。</w:t>
      </w:r>
      <w:r>
        <w:rPr>
          <w:rFonts w:hint="eastAsia" w:ascii="仿宋" w:hAnsi="仿宋" w:cs="仿宋"/>
          <w:color w:val="auto"/>
          <w:sz w:val="28"/>
          <w:szCs w:val="28"/>
          <w:lang w:val="en-US" w:eastAsia="zh-CN"/>
        </w:rPr>
        <w:t>我部</w:t>
      </w:r>
      <w:r>
        <w:rPr>
          <w:rFonts w:hint="eastAsia" w:ascii="仿宋" w:hAnsi="仿宋" w:eastAsia="仿宋" w:cs="仿宋"/>
          <w:color w:val="auto"/>
          <w:sz w:val="28"/>
          <w:szCs w:val="28"/>
          <w:lang w:eastAsia="zh-CN"/>
        </w:rPr>
        <w:t>建立《</w:t>
      </w:r>
      <w:r>
        <w:rPr>
          <w:rFonts w:hint="eastAsia" w:ascii="仿宋" w:hAnsi="仿宋" w:cs="仿宋"/>
          <w:color w:val="auto"/>
          <w:sz w:val="28"/>
          <w:szCs w:val="28"/>
          <w:lang w:val="en-US" w:eastAsia="zh-CN"/>
        </w:rPr>
        <w:t>体育部</w:t>
      </w:r>
      <w:r>
        <w:rPr>
          <w:rFonts w:hint="eastAsia" w:ascii="仿宋" w:hAnsi="仿宋" w:eastAsia="仿宋" w:cs="仿宋"/>
          <w:color w:val="auto"/>
          <w:sz w:val="28"/>
          <w:szCs w:val="28"/>
          <w:lang w:eastAsia="zh-CN"/>
        </w:rPr>
        <w:t>教学巡查制度》，形成了以部务委员会为主、教研室、教学督导为支撑的教学质量保障体系。具体的操作模式是，体育部形成了每周一召开体育部管理人员例会，参加人为主任、副主任、教研室主任、教学督导和教务干事等人员，主要研究解决在教学中遇见的问题，同时对一周内需要开展布置的教学工作进行布置。教学秘书负责每天每个教学单元的常规教学检查，教研室主任负责本教研室教师的阶段教学检查，教学督导负责整个教学质量监控的督导工作，部务委员会以期中的检查性听评课和期末的评价性听评课来引导我部教学检查工作的方向。对于检查优秀的教师，我部及时在期中、期末的教学检查总结会上给予表扬，对于问题较多的个别教师，部务委员会除了约谈该教师外，还指派骨干教师对其给予指导、帮助，并要求教研室定期追踪、反馈。</w:t>
      </w:r>
      <w:r>
        <w:rPr>
          <w:rFonts w:hint="eastAsia" w:ascii="仿宋" w:hAnsi="仿宋" w:eastAsia="仿宋" w:cs="仿宋"/>
          <w:b w:val="0"/>
          <w:color w:val="auto"/>
          <w:sz w:val="28"/>
          <w:szCs w:val="28"/>
          <w:u w:val="none"/>
          <w:lang w:val="en-US" w:eastAsia="zh-CN"/>
        </w:rPr>
        <w:t>同时，院领导班子尤其是教学副</w:t>
      </w:r>
      <w:r>
        <w:rPr>
          <w:rFonts w:hint="eastAsia" w:ascii="仿宋" w:hAnsi="仿宋" w:cs="仿宋"/>
          <w:b w:val="0"/>
          <w:color w:val="auto"/>
          <w:sz w:val="28"/>
          <w:szCs w:val="28"/>
          <w:u w:val="none"/>
          <w:lang w:val="en-US" w:eastAsia="zh-CN"/>
        </w:rPr>
        <w:t>主任</w:t>
      </w:r>
      <w:r>
        <w:rPr>
          <w:rFonts w:hint="eastAsia" w:ascii="仿宋" w:hAnsi="仿宋" w:eastAsia="仿宋" w:cs="仿宋"/>
          <w:b w:val="0"/>
          <w:color w:val="auto"/>
          <w:sz w:val="28"/>
          <w:szCs w:val="28"/>
          <w:u w:val="none"/>
          <w:lang w:val="en-US" w:eastAsia="zh-CN"/>
        </w:rPr>
        <w:t>及教科办进行了常态的教学巡查或不定期进行教学巡查，做到每周均有巡查记录。</w:t>
      </w:r>
    </w:p>
    <w:p w14:paraId="6A7FFC07">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color w:val="auto"/>
          <w:lang w:val="en-US" w:eastAsia="zh-CN"/>
        </w:rPr>
      </w:pPr>
      <w:r>
        <w:rPr>
          <w:rFonts w:hint="eastAsia" w:ascii="仿宋" w:hAnsi="仿宋" w:eastAsia="仿宋" w:cs="仿宋"/>
          <w:color w:val="auto"/>
          <w:sz w:val="28"/>
          <w:szCs w:val="28"/>
          <w:lang w:val="en-US" w:eastAsia="zh-CN"/>
        </w:rPr>
        <w:t>学院</w:t>
      </w:r>
      <w:r>
        <w:rPr>
          <w:rFonts w:hint="eastAsia" w:ascii="仿宋" w:hAnsi="仿宋" w:eastAsia="仿宋" w:cs="仿宋"/>
          <w:color w:val="auto"/>
          <w:sz w:val="28"/>
          <w:szCs w:val="28"/>
        </w:rPr>
        <w:t>教师积极投入本科生</w:t>
      </w:r>
      <w:r>
        <w:rPr>
          <w:rFonts w:hint="eastAsia" w:ascii="仿宋" w:hAnsi="仿宋" w:eastAsia="仿宋" w:cs="仿宋"/>
          <w:color w:val="auto"/>
          <w:sz w:val="28"/>
          <w:szCs w:val="28"/>
          <w:lang w:val="en-US" w:eastAsia="zh-CN"/>
        </w:rPr>
        <w:t>的教学与人才培养工作</w:t>
      </w:r>
      <w:r>
        <w:rPr>
          <w:rFonts w:hint="eastAsia" w:ascii="仿宋" w:hAnsi="仿宋" w:eastAsia="仿宋" w:cs="仿宋"/>
          <w:color w:val="auto"/>
          <w:sz w:val="28"/>
          <w:szCs w:val="28"/>
          <w:lang w:eastAsia="zh-CN"/>
        </w:rPr>
        <w:t>。</w:t>
      </w:r>
      <w:r>
        <w:rPr>
          <w:rFonts w:hint="eastAsia" w:ascii="仿宋" w:hAnsi="仿宋" w:cs="仿宋"/>
          <w:color w:val="auto"/>
          <w:sz w:val="28"/>
          <w:szCs w:val="28"/>
          <w:lang w:val="en-US" w:eastAsia="zh-CN"/>
        </w:rPr>
        <w:t>我部</w:t>
      </w:r>
      <w:r>
        <w:rPr>
          <w:rFonts w:hint="eastAsia" w:ascii="仿宋" w:hAnsi="仿宋" w:eastAsia="仿宋" w:cs="仿宋"/>
          <w:color w:val="auto"/>
          <w:sz w:val="28"/>
          <w:szCs w:val="28"/>
          <w:lang w:val="en-US" w:eastAsia="zh-CN"/>
        </w:rPr>
        <w:t>依据学校的制度，规定</w:t>
      </w:r>
      <w:r>
        <w:rPr>
          <w:rFonts w:hint="eastAsia" w:ascii="仿宋" w:hAnsi="仿宋" w:eastAsia="仿宋" w:cs="仿宋"/>
          <w:color w:val="auto"/>
          <w:sz w:val="28"/>
          <w:szCs w:val="28"/>
        </w:rPr>
        <w:t>教授</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副教授须</w:t>
      </w:r>
      <w:r>
        <w:rPr>
          <w:rFonts w:hint="eastAsia" w:ascii="仿宋" w:hAnsi="仿宋" w:eastAsia="仿宋" w:cs="仿宋"/>
          <w:color w:val="auto"/>
          <w:sz w:val="28"/>
          <w:szCs w:val="28"/>
        </w:rPr>
        <w:t>为本科生上课</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并在绩效考核中对教授、副教授为本科生上课做出了明确的工作量要求</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即有学院行政管理工作任务的教授每年须为本科生教授一门课程，在需要的情况下须承担本科生集中实践教学工作任务和指导本科生参加学科比赛。对于没有行政管理工作的专任教师，其工作量规定为须承担本科生课堂教学工作量256课时，承担其他指导本科生学习的工作量64课时，年度总工作量为320课时。近两年</w:t>
      </w:r>
      <w:r>
        <w:rPr>
          <w:rFonts w:hint="eastAsia" w:ascii="仿宋" w:hAnsi="仿宋" w:eastAsia="仿宋" w:cs="仿宋"/>
          <w:color w:val="auto"/>
          <w:sz w:val="28"/>
          <w:szCs w:val="28"/>
        </w:rPr>
        <w:t>主讲本科课程的教授</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副教授</w:t>
      </w:r>
      <w:r>
        <w:rPr>
          <w:rFonts w:hint="eastAsia" w:ascii="仿宋" w:hAnsi="仿宋" w:eastAsia="仿宋" w:cs="仿宋"/>
          <w:color w:val="auto"/>
          <w:sz w:val="28"/>
          <w:szCs w:val="28"/>
        </w:rPr>
        <w:t>人数占教授总数的100%</w:t>
      </w:r>
      <w:r>
        <w:rPr>
          <w:rFonts w:hint="eastAsia" w:ascii="仿宋" w:hAnsi="仿宋" w:eastAsia="仿宋" w:cs="仿宋"/>
          <w:color w:val="auto"/>
          <w:sz w:val="28"/>
          <w:szCs w:val="28"/>
          <w:lang w:eastAsia="zh-CN"/>
        </w:rPr>
        <w:t>，</w:t>
      </w:r>
      <w:r>
        <w:rPr>
          <w:rFonts w:hint="eastAsia" w:ascii="仿宋" w:hAnsi="仿宋" w:cs="仿宋"/>
          <w:color w:val="auto"/>
          <w:sz w:val="28"/>
          <w:szCs w:val="28"/>
          <w:lang w:val="en-US" w:eastAsia="zh-CN"/>
        </w:rPr>
        <w:t>体育部</w:t>
      </w:r>
      <w:r>
        <w:rPr>
          <w:rFonts w:hint="eastAsia" w:ascii="仿宋" w:hAnsi="仿宋" w:eastAsia="仿宋" w:cs="仿宋"/>
          <w:color w:val="auto"/>
          <w:sz w:val="28"/>
          <w:szCs w:val="28"/>
          <w:lang w:val="en-US" w:eastAsia="zh-CN"/>
        </w:rPr>
        <w:t>教授为本科生上课和指导学生课时总量</w:t>
      </w:r>
      <w:r>
        <w:rPr>
          <w:rFonts w:hint="eastAsia" w:ascii="仿宋" w:hAnsi="仿宋" w:cs="仿宋"/>
          <w:color w:val="auto"/>
          <w:sz w:val="28"/>
          <w:szCs w:val="28"/>
          <w:lang w:val="en-US" w:eastAsia="zh-CN"/>
        </w:rPr>
        <w:t>超300</w:t>
      </w:r>
      <w:r>
        <w:rPr>
          <w:rFonts w:hint="eastAsia" w:ascii="仿宋" w:hAnsi="仿宋" w:eastAsia="仿宋" w:cs="仿宋"/>
          <w:color w:val="auto"/>
          <w:sz w:val="28"/>
          <w:szCs w:val="28"/>
          <w:lang w:val="en-US" w:eastAsia="zh-CN"/>
        </w:rPr>
        <w:t xml:space="preserve">课时/年。   </w:t>
      </w:r>
      <w:r>
        <w:rPr>
          <w:rFonts w:hint="eastAsia" w:ascii="仿宋" w:hAnsi="仿宋" w:eastAsia="仿宋" w:cs="仿宋"/>
          <w:b w:val="0"/>
          <w:color w:val="auto"/>
          <w:sz w:val="28"/>
          <w:szCs w:val="28"/>
          <w:u w:val="none"/>
          <w:lang w:val="en-US" w:eastAsia="zh-CN"/>
        </w:rPr>
        <w:t xml:space="preserve">   </w:t>
      </w:r>
    </w:p>
    <w:p w14:paraId="18F2D2CF">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97" w:name="_Toc940"/>
      <w:bookmarkStart w:id="98" w:name="_Toc30498"/>
      <w:bookmarkStart w:id="99" w:name="_Toc1659"/>
      <w:r>
        <w:rPr>
          <w:rFonts w:hint="eastAsia" w:ascii="仿宋" w:hAnsi="仿宋" w:eastAsia="仿宋" w:cs="仿宋"/>
          <w:b/>
          <w:bCs/>
          <w:color w:val="auto"/>
          <w:sz w:val="28"/>
          <w:szCs w:val="28"/>
          <w:lang w:val="en-US" w:eastAsia="zh-CN"/>
        </w:rPr>
        <w:t>4.3.2教师积极开展教学研究，教研活动规范、有成效</w:t>
      </w:r>
      <w:bookmarkEnd w:id="97"/>
      <w:bookmarkEnd w:id="98"/>
      <w:bookmarkEnd w:id="99"/>
    </w:p>
    <w:p w14:paraId="7EDA5C59">
      <w:pPr>
        <w:pStyle w:val="7"/>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仿宋"/>
          <w:b w:val="0"/>
          <w:color w:val="auto"/>
          <w:sz w:val="28"/>
          <w:szCs w:val="28"/>
          <w:u w:val="none"/>
          <w:lang w:val="en-US" w:eastAsia="zh-CN"/>
        </w:rPr>
      </w:pPr>
      <w:r>
        <w:rPr>
          <w:rFonts w:hint="eastAsia" w:ascii="仿宋" w:hAnsi="仿宋" w:eastAsia="仿宋" w:cs="仿宋"/>
          <w:b w:val="0"/>
          <w:color w:val="auto"/>
          <w:sz w:val="28"/>
          <w:szCs w:val="28"/>
          <w:u w:val="none"/>
          <w:lang w:val="en-US" w:eastAsia="zh-CN"/>
        </w:rPr>
        <w:t>目前体育部设置有三个教研室，形体训练教研室,大学体育教研室,体育竞赛教研室。各教研室组织教师开展各类教研室活动，平均每学期8次，主要围绕教学活动、</w:t>
      </w:r>
      <w:r>
        <w:rPr>
          <w:rFonts w:hint="eastAsia" w:ascii="仿宋" w:hAnsi="仿宋" w:cs="仿宋"/>
          <w:b w:val="0"/>
          <w:color w:val="auto"/>
          <w:sz w:val="28"/>
          <w:szCs w:val="28"/>
          <w:u w:val="none"/>
          <w:lang w:val="en-US" w:eastAsia="zh-CN"/>
        </w:rPr>
        <w:t>教学工作、</w:t>
      </w:r>
      <w:r>
        <w:rPr>
          <w:rFonts w:hint="eastAsia" w:ascii="仿宋" w:hAnsi="仿宋" w:eastAsia="仿宋" w:cs="仿宋"/>
          <w:b w:val="0"/>
          <w:color w:val="auto"/>
          <w:sz w:val="28"/>
          <w:szCs w:val="28"/>
          <w:u w:val="none"/>
          <w:lang w:val="en-US" w:eastAsia="zh-CN"/>
        </w:rPr>
        <w:t>教学竞赛、学生各类竞赛等开展研讨并组织教师开展有组织科研，全面提升教学综合水平，促进教师教学能力，教研活动丰富、充实，教研记录详细，在学校每学期组织的集中教学检查中均已经检查。</w:t>
      </w:r>
    </w:p>
    <w:p w14:paraId="3814E672">
      <w:pPr>
        <w:pStyle w:val="4"/>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b w:val="0"/>
          <w:color w:val="auto"/>
          <w:sz w:val="28"/>
          <w:szCs w:val="28"/>
          <w:u w:val="none"/>
          <w:lang w:val="en-US" w:eastAsia="zh-CN"/>
        </w:rPr>
      </w:pPr>
      <w:bookmarkStart w:id="100" w:name="_Toc3143"/>
      <w:bookmarkStart w:id="101" w:name="_Toc18602"/>
      <w:bookmarkStart w:id="102" w:name="_Toc6386"/>
      <w:r>
        <w:rPr>
          <w:rFonts w:hint="eastAsia" w:ascii="仿宋" w:hAnsi="仿宋" w:eastAsia="仿宋" w:cs="仿宋"/>
          <w:b w:val="0"/>
          <w:color w:val="auto"/>
          <w:sz w:val="28"/>
          <w:szCs w:val="28"/>
          <w:u w:val="none"/>
          <w:lang w:val="en-US" w:eastAsia="zh-CN"/>
        </w:rPr>
        <w:t>部门教师近年来在国家级和省级以上期刊发表论文100余篇，主持和参与国家、省（部）、厅、校级课题研究40余项。</w:t>
      </w:r>
      <w:bookmarkEnd w:id="100"/>
      <w:bookmarkEnd w:id="101"/>
    </w:p>
    <w:p w14:paraId="700137F6">
      <w:pPr>
        <w:pStyle w:val="4"/>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b w:val="0"/>
          <w:color w:val="auto"/>
          <w:sz w:val="28"/>
          <w:szCs w:val="28"/>
          <w:u w:val="none"/>
          <w:lang w:val="en-US" w:eastAsia="zh-CN"/>
        </w:rPr>
      </w:pPr>
      <w:bookmarkStart w:id="103" w:name="_Toc7005"/>
      <w:bookmarkStart w:id="104" w:name="_Toc16965"/>
      <w:r>
        <w:rPr>
          <w:rFonts w:hint="eastAsia" w:ascii="仿宋" w:hAnsi="仿宋" w:eastAsia="仿宋" w:cs="仿宋"/>
          <w:b w:val="0"/>
          <w:color w:val="auto"/>
          <w:sz w:val="28"/>
          <w:szCs w:val="28"/>
          <w:u w:val="none"/>
          <w:lang w:val="en-US" w:eastAsia="zh-CN"/>
        </w:rPr>
        <w:t>教师中具有国家级社会体育指导员资格2人，全民健身舞国家级教练员、裁判员1人，中国啦啦操委员会“银牌导师”1人；健美操国家一级教练员1人，啦啦操国家一级教练员2人，国家一级社会体育指导员5人；具有健美操、啦啦操、跳绳、球类、田径等项目国家一级裁判员资格10余人次。</w:t>
      </w:r>
      <w:bookmarkEnd w:id="103"/>
      <w:bookmarkEnd w:id="104"/>
    </w:p>
    <w:p w14:paraId="01687F19">
      <w:pPr>
        <w:pStyle w:val="4"/>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b w:val="0"/>
          <w:color w:val="auto"/>
          <w:sz w:val="28"/>
          <w:szCs w:val="28"/>
          <w:u w:val="none"/>
          <w:lang w:val="en-US" w:eastAsia="zh-CN"/>
        </w:rPr>
      </w:pPr>
      <w:bookmarkStart w:id="105" w:name="_Toc30956"/>
      <w:bookmarkStart w:id="106" w:name="_Toc21499"/>
      <w:r>
        <w:rPr>
          <w:rFonts w:hint="eastAsia" w:ascii="仿宋" w:hAnsi="仿宋" w:eastAsia="仿宋" w:cs="仿宋"/>
          <w:b w:val="0"/>
          <w:color w:val="auto"/>
          <w:sz w:val="28"/>
          <w:szCs w:val="28"/>
          <w:u w:val="none"/>
          <w:lang w:val="en-US" w:eastAsia="zh-CN"/>
        </w:rPr>
        <w:t>部门1人获2023年第十三届中国体育科学大会专题报告一等奖，2人获2023年首届中国女子高等院校联盟教学成果奖优秀奖。1人获“全国高职高专院校体育工作先进个人”；3人获“湖南省首届体育云动会年度体育育人奖”；2人获“湖南省长株潭高校优秀体育教师”；1人获“湖南省长株潭高校优秀体育工作管理者”；1人获“湖南省普通高等学校青年体育教师课堂教学竞赛一等奖”，6人次获““湖南省普通高等学校青年体育教师课堂教学竞赛二、三等奖”；1项成果获“第12届湖南省社会科学界学术年会优秀论文一等奖”；1项成果获“第3届湖南省教育科学规划课题研究项目优秀成果一等奖”；1项成果获“湖南省高等教育学会高等教育成果二等奖”；1项成果获“第11届湖南省高等教育省级教学成果三等奖”；1人获评“湖南省阳光体操节突出贡献奖”；1人获评“全国校园大课间啦啦操推广先进个人”；1人获评“全国啦啦操十佳教练员”。多人次获“湖南省大学生运动会优秀教练员”。</w:t>
      </w:r>
      <w:bookmarkEnd w:id="105"/>
      <w:bookmarkEnd w:id="106"/>
    </w:p>
    <w:p w14:paraId="58B67002">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eastAsia" w:ascii="黑体" w:hAnsi="黑体" w:eastAsia="黑体" w:cs="黑体"/>
          <w:b/>
          <w:bCs/>
          <w:color w:val="auto"/>
          <w:sz w:val="32"/>
          <w:szCs w:val="32"/>
          <w:lang w:val="en-US" w:eastAsia="zh-CN"/>
        </w:rPr>
      </w:pPr>
      <w:bookmarkStart w:id="107" w:name="_Toc17459"/>
      <w:r>
        <w:rPr>
          <w:rFonts w:hint="eastAsia" w:ascii="黑体" w:hAnsi="黑体" w:eastAsia="黑体" w:cs="黑体"/>
          <w:b/>
          <w:bCs/>
          <w:color w:val="auto"/>
          <w:sz w:val="32"/>
          <w:szCs w:val="32"/>
          <w:lang w:val="en-US" w:eastAsia="zh-CN"/>
        </w:rPr>
        <w:t>4.4</w:t>
      </w:r>
      <w:r>
        <w:rPr>
          <w:rFonts w:hint="eastAsia" w:ascii="黑体" w:hAnsi="黑体" w:cs="黑体"/>
          <w:b/>
          <w:bCs/>
          <w:color w:val="auto"/>
          <w:sz w:val="32"/>
          <w:szCs w:val="32"/>
          <w:lang w:val="en-US" w:eastAsia="zh-CN"/>
        </w:rPr>
        <w:t xml:space="preserve"> </w:t>
      </w:r>
      <w:r>
        <w:rPr>
          <w:rFonts w:hint="eastAsia" w:ascii="黑体" w:hAnsi="黑体" w:eastAsia="黑体" w:cs="黑体"/>
          <w:b/>
          <w:bCs/>
          <w:color w:val="auto"/>
          <w:sz w:val="32"/>
          <w:szCs w:val="32"/>
          <w:lang w:val="en-US" w:eastAsia="zh-CN"/>
        </w:rPr>
        <w:t>促进教师发展</w:t>
      </w:r>
      <w:bookmarkEnd w:id="102"/>
      <w:bookmarkEnd w:id="107"/>
    </w:p>
    <w:p w14:paraId="124463F0">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108" w:name="_Toc579"/>
      <w:bookmarkStart w:id="109" w:name="_Toc29519"/>
      <w:r>
        <w:rPr>
          <w:rFonts w:hint="eastAsia" w:ascii="仿宋" w:hAnsi="仿宋" w:eastAsia="仿宋" w:cs="仿宋"/>
          <w:b/>
          <w:bCs/>
          <w:color w:val="auto"/>
          <w:sz w:val="28"/>
          <w:szCs w:val="28"/>
          <w:lang w:val="en-US" w:eastAsia="zh-CN"/>
        </w:rPr>
        <w:t>4.4.1教师培训</w:t>
      </w:r>
      <w:bookmarkEnd w:id="108"/>
      <w:bookmarkEnd w:id="109"/>
    </w:p>
    <w:p w14:paraId="1FE97D0C">
      <w:pPr>
        <w:pStyle w:val="4"/>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b w:val="0"/>
          <w:color w:val="auto"/>
          <w:sz w:val="28"/>
          <w:szCs w:val="28"/>
          <w:u w:val="none"/>
          <w:lang w:val="en-US" w:eastAsia="zh-CN"/>
        </w:rPr>
      </w:pPr>
      <w:bookmarkStart w:id="110" w:name="_Toc14629"/>
      <w:bookmarkStart w:id="111" w:name="_Toc17691"/>
      <w:r>
        <w:rPr>
          <w:rFonts w:hint="eastAsia" w:ascii="仿宋" w:hAnsi="仿宋" w:eastAsia="仿宋" w:cs="仿宋"/>
          <w:b w:val="0"/>
          <w:color w:val="auto"/>
          <w:sz w:val="28"/>
          <w:szCs w:val="28"/>
          <w:u w:val="none"/>
          <w:lang w:val="en-US" w:eastAsia="zh-CN"/>
        </w:rPr>
        <w:t>我部结合学校确立以能力发展为重的培训机制。确立了以提升人才培养质量为导向，以教师能力发展为重点，以师德师风为前提的发展机制，进一步加强自身能力建设，拓宽培训渠道，创新培训思路和培训机制，提高服务质量和水平。培训对象侧重于新教师、中年青年教师；培训方式根据教师的时空条件可采取线上线下相结合、集中组织与分散开展相结合，鼓励青年教师参加我校联合湖南师范大学教育科学学院精心策划“湖南女子学院青年教师教学能力提升培训班”，提高青年教师的专业素养，提升教师团队的建设能力，更好地助力青年人才成长；组织优秀教师参加学术研讨活动，邀请专家学术讲座，共同探讨如何提升教师的科研能力，为我部体育教育事业的发展注入新的活力。</w:t>
      </w:r>
      <w:bookmarkEnd w:id="110"/>
      <w:bookmarkEnd w:id="111"/>
    </w:p>
    <w:p w14:paraId="5A673F8F">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112" w:name="_Toc7202"/>
      <w:bookmarkStart w:id="113" w:name="_Toc18928"/>
      <w:r>
        <w:rPr>
          <w:rFonts w:hint="eastAsia" w:ascii="仿宋" w:hAnsi="仿宋" w:eastAsia="仿宋" w:cs="仿宋"/>
          <w:b/>
          <w:bCs/>
          <w:color w:val="auto"/>
          <w:sz w:val="28"/>
          <w:szCs w:val="28"/>
          <w:lang w:val="en-US" w:eastAsia="zh-CN"/>
        </w:rPr>
        <w:t>4.4.2学历提升</w:t>
      </w:r>
      <w:bookmarkEnd w:id="112"/>
      <w:bookmarkEnd w:id="113"/>
    </w:p>
    <w:p w14:paraId="523D2163">
      <w:pPr>
        <w:pStyle w:val="4"/>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b w:val="0"/>
          <w:color w:val="auto"/>
          <w:sz w:val="28"/>
          <w:szCs w:val="28"/>
          <w:u w:val="none"/>
          <w:lang w:val="en-US" w:eastAsia="zh-CN"/>
        </w:rPr>
      </w:pPr>
      <w:bookmarkStart w:id="114" w:name="_Toc17930"/>
      <w:bookmarkStart w:id="115" w:name="_Toc14559"/>
      <w:r>
        <w:rPr>
          <w:rFonts w:hint="eastAsia" w:ascii="仿宋" w:hAnsi="仿宋" w:eastAsia="仿宋" w:cs="仿宋"/>
          <w:b w:val="0"/>
          <w:color w:val="auto"/>
          <w:sz w:val="28"/>
          <w:szCs w:val="28"/>
          <w:u w:val="none"/>
          <w:lang w:val="en-US" w:eastAsia="zh-CN"/>
        </w:rPr>
        <w:t>教育以教师为本。师资队伍建设是部门建设的一项中心任务。为了优化教师队伍，部门制定了师资培养计划，积极推进师资队伍建设工作。鼓励教师在职攻读学位或参与短期培训，提高教师的理论素养和专业水平。目前我部有3名教师在攻读博士并取得学位。</w:t>
      </w:r>
      <w:bookmarkEnd w:id="114"/>
      <w:bookmarkEnd w:id="115"/>
    </w:p>
    <w:p w14:paraId="6271E33A">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116" w:name="_Toc10240"/>
      <w:bookmarkStart w:id="117" w:name="_Toc6623"/>
      <w:r>
        <w:rPr>
          <w:rFonts w:hint="eastAsia" w:ascii="仿宋" w:hAnsi="仿宋" w:eastAsia="仿宋" w:cs="仿宋"/>
          <w:b/>
          <w:bCs/>
          <w:color w:val="auto"/>
          <w:sz w:val="28"/>
          <w:szCs w:val="28"/>
          <w:lang w:val="en-US" w:eastAsia="zh-CN"/>
        </w:rPr>
        <w:t>4.4.3青年教师培养</w:t>
      </w:r>
      <w:bookmarkEnd w:id="116"/>
      <w:bookmarkEnd w:id="117"/>
    </w:p>
    <w:p w14:paraId="29C488D6">
      <w:pPr>
        <w:pStyle w:val="4"/>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b w:val="0"/>
          <w:color w:val="auto"/>
          <w:sz w:val="28"/>
          <w:szCs w:val="28"/>
          <w:u w:val="none"/>
          <w:lang w:val="en-US" w:eastAsia="zh-CN"/>
        </w:rPr>
      </w:pPr>
      <w:bookmarkStart w:id="118" w:name="_Toc20002"/>
      <w:bookmarkStart w:id="119" w:name="_Toc1862"/>
      <w:r>
        <w:rPr>
          <w:rFonts w:hint="eastAsia" w:ascii="仿宋" w:hAnsi="仿宋" w:eastAsia="仿宋" w:cs="仿宋"/>
          <w:b w:val="0"/>
          <w:color w:val="auto"/>
          <w:sz w:val="28"/>
          <w:szCs w:val="28"/>
          <w:u w:val="none"/>
          <w:lang w:val="en-US" w:eastAsia="zh-CN"/>
        </w:rPr>
        <w:t>部门加强对新进教师、新上课老师以及新开课程教学教师的培养，除了完成常规的高校教师岗前培训外，还制定措施，实施青年导师制。部门所有新进年青教师均配备了指导老师，有计划的发挥老教师对青年教师的“传、帮、带”作用，做到思想指导、教学指导、科研指导三落实。新上课的老师及新开课程教学的教师均采取开课前培训及试讲的工作。日常教研室经常开展互相听课、评课活动，定期进行研讨，以帮助青年教师提高教学水平。</w:t>
      </w:r>
      <w:bookmarkEnd w:id="118"/>
      <w:bookmarkEnd w:id="119"/>
    </w:p>
    <w:p w14:paraId="41B92D4A">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default"/>
          <w:lang w:val="en-US" w:eastAsia="zh-CN"/>
        </w:rPr>
      </w:pPr>
      <w:bookmarkStart w:id="120" w:name="_Toc18817"/>
      <w:r>
        <w:rPr>
          <w:rFonts w:hint="eastAsia" w:ascii="黑体" w:hAnsi="黑体" w:eastAsia="黑体" w:cs="黑体"/>
          <w:b/>
          <w:bCs/>
          <w:color w:val="auto"/>
          <w:sz w:val="32"/>
          <w:szCs w:val="32"/>
          <w:lang w:val="en-US" w:eastAsia="zh-CN"/>
        </w:rPr>
        <w:t>4.</w:t>
      </w:r>
      <w:r>
        <w:rPr>
          <w:rFonts w:hint="eastAsia" w:ascii="黑体" w:hAnsi="黑体" w:cs="黑体"/>
          <w:b/>
          <w:bCs/>
          <w:color w:val="auto"/>
          <w:sz w:val="32"/>
          <w:szCs w:val="32"/>
          <w:lang w:val="en-US" w:eastAsia="zh-CN"/>
        </w:rPr>
        <w:t>5 存在的问题、原因分析及下一步整改举</w:t>
      </w:r>
      <w:bookmarkEnd w:id="120"/>
    </w:p>
    <w:p w14:paraId="7F07E9C9">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121" w:name="_Toc11623"/>
      <w:bookmarkStart w:id="122" w:name="_Toc22688"/>
      <w:r>
        <w:rPr>
          <w:rFonts w:hint="eastAsia" w:ascii="仿宋" w:hAnsi="仿宋" w:eastAsia="仿宋" w:cs="仿宋"/>
          <w:b/>
          <w:bCs/>
          <w:color w:val="auto"/>
          <w:sz w:val="28"/>
          <w:szCs w:val="28"/>
          <w:lang w:val="en-US" w:eastAsia="zh-CN"/>
        </w:rPr>
        <w:t>4.5.1存在的问题</w:t>
      </w:r>
      <w:bookmarkEnd w:id="121"/>
      <w:bookmarkEnd w:id="122"/>
    </w:p>
    <w:p w14:paraId="0C8C9D89">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color w:val="auto"/>
        </w:rPr>
      </w:pPr>
      <w:r>
        <w:rPr>
          <w:rFonts w:hint="eastAsia"/>
          <w:color w:val="auto"/>
          <w:lang w:val="en-US" w:eastAsia="zh-CN"/>
        </w:rPr>
        <w:t>第一，</w:t>
      </w:r>
      <w:r>
        <w:rPr>
          <w:rFonts w:hint="eastAsia"/>
          <w:color w:val="auto"/>
        </w:rPr>
        <w:t>教学研讨和教学改革需要加强。</w:t>
      </w:r>
    </w:p>
    <w:p w14:paraId="1298EA23">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color w:val="auto"/>
        </w:rPr>
      </w:pPr>
      <w:r>
        <w:rPr>
          <w:rFonts w:hint="eastAsia"/>
          <w:color w:val="auto"/>
        </w:rPr>
        <w:t>教学是体育部基本职责，教学研讨与教学改革 需要持续重视与加强，围绕教学的改革需要不断研讨与提升。</w:t>
      </w:r>
    </w:p>
    <w:p w14:paraId="25F29551">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color w:val="auto"/>
        </w:rPr>
      </w:pPr>
      <w:r>
        <w:rPr>
          <w:rFonts w:hint="eastAsia"/>
          <w:color w:val="auto"/>
          <w:lang w:val="en-US" w:eastAsia="zh-CN"/>
        </w:rPr>
        <w:t>第二，</w:t>
      </w:r>
      <w:r>
        <w:rPr>
          <w:rFonts w:hint="eastAsia"/>
          <w:color w:val="auto"/>
        </w:rPr>
        <w:t>师资队伍结构不够理想。</w:t>
      </w:r>
    </w:p>
    <w:p w14:paraId="65D21C93">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color w:val="auto"/>
        </w:rPr>
      </w:pPr>
      <w:r>
        <w:rPr>
          <w:rFonts w:hint="eastAsia"/>
          <w:color w:val="auto"/>
        </w:rPr>
        <w:t>球类、田径专业背景的教师较多，具有新兴时尚项目背景的教师极少，由于经费的有限，青年教师接受继续教育培训的机会不多，这都将制约我部在教学改革、科研等方面发展。因此，从2024年起要有针对性的引进博士（专业强的硕士）学历的教师。</w:t>
      </w:r>
    </w:p>
    <w:p w14:paraId="36EE92EF">
      <w:pPr>
        <w:keepNext w:val="0"/>
        <w:keepLines w:val="0"/>
        <w:pageBreakBefore w:val="0"/>
        <w:widowControl w:val="0"/>
        <w:kinsoku/>
        <w:wordWrap/>
        <w:overflowPunct/>
        <w:topLinePunct w:val="0"/>
        <w:autoSpaceDE w:val="0"/>
        <w:autoSpaceDN w:val="0"/>
        <w:bidi w:val="0"/>
        <w:adjustRightInd/>
        <w:snapToGrid/>
        <w:spacing w:line="500" w:lineRule="exact"/>
        <w:ind w:firstLine="548" w:firstLineChars="200"/>
        <w:jc w:val="left"/>
        <w:textAlignment w:val="auto"/>
        <w:rPr>
          <w:rFonts w:hint="eastAsia" w:ascii="仿宋" w:hAnsi="仿宋" w:eastAsia="仿宋" w:cs="仿宋"/>
          <w:color w:val="auto"/>
          <w:spacing w:val="-3"/>
          <w:sz w:val="28"/>
          <w:szCs w:val="28"/>
        </w:rPr>
      </w:pPr>
      <w:r>
        <w:rPr>
          <w:rFonts w:hint="eastAsia" w:ascii="仿宋" w:hAnsi="仿宋" w:cs="仿宋"/>
          <w:color w:val="auto"/>
          <w:spacing w:val="-3"/>
          <w:sz w:val="28"/>
          <w:szCs w:val="28"/>
          <w:lang w:val="en-US" w:eastAsia="zh-CN"/>
        </w:rPr>
        <w:t>第三，教师</w:t>
      </w:r>
      <w:r>
        <w:rPr>
          <w:rFonts w:hint="eastAsia" w:ascii="仿宋" w:hAnsi="仿宋" w:eastAsia="仿宋" w:cs="仿宋"/>
          <w:color w:val="auto"/>
          <w:spacing w:val="-3"/>
          <w:sz w:val="28"/>
          <w:szCs w:val="28"/>
        </w:rPr>
        <w:t>素质能力</w:t>
      </w:r>
      <w:r>
        <w:rPr>
          <w:rFonts w:hint="eastAsia" w:ascii="仿宋" w:hAnsi="仿宋" w:cs="仿宋"/>
          <w:color w:val="auto"/>
          <w:spacing w:val="-3"/>
          <w:sz w:val="28"/>
          <w:szCs w:val="28"/>
          <w:lang w:val="en-US" w:eastAsia="zh-CN"/>
        </w:rPr>
        <w:t>有待提升。</w:t>
      </w:r>
      <w:r>
        <w:rPr>
          <w:rFonts w:hint="eastAsia" w:ascii="仿宋" w:hAnsi="仿宋" w:eastAsia="仿宋" w:cs="仿宋"/>
          <w:color w:val="auto"/>
          <w:spacing w:val="-3"/>
          <w:sz w:val="28"/>
          <w:szCs w:val="28"/>
        </w:rPr>
        <w:t>师资队伍教学科研工作绩效水平还需提高，</w:t>
      </w:r>
      <w:r>
        <w:rPr>
          <w:rFonts w:hint="eastAsia" w:ascii="仿宋" w:hAnsi="仿宋" w:cs="仿宋"/>
          <w:color w:val="auto"/>
          <w:spacing w:val="-3"/>
          <w:sz w:val="28"/>
          <w:szCs w:val="28"/>
          <w:lang w:val="en-US" w:eastAsia="zh-CN"/>
        </w:rPr>
        <w:t>学院</w:t>
      </w:r>
      <w:r>
        <w:rPr>
          <w:rFonts w:hint="eastAsia" w:ascii="仿宋" w:hAnsi="仿宋" w:eastAsia="仿宋" w:cs="仿宋"/>
          <w:color w:val="auto"/>
          <w:spacing w:val="-3"/>
          <w:sz w:val="28"/>
          <w:szCs w:val="28"/>
        </w:rPr>
        <w:t>近三年无教师</w:t>
      </w:r>
      <w:r>
        <w:rPr>
          <w:rFonts w:hint="eastAsia" w:ascii="仿宋" w:hAnsi="仿宋" w:cs="仿宋"/>
          <w:color w:val="auto"/>
          <w:spacing w:val="-3"/>
          <w:sz w:val="28"/>
          <w:szCs w:val="28"/>
          <w:lang w:val="en-US" w:eastAsia="zh-CN"/>
        </w:rPr>
        <w:t>成功申报</w:t>
      </w:r>
      <w:r>
        <w:rPr>
          <w:rFonts w:hint="eastAsia" w:ascii="仿宋" w:hAnsi="仿宋" w:eastAsia="仿宋" w:cs="仿宋"/>
          <w:color w:val="auto"/>
          <w:spacing w:val="-3"/>
          <w:sz w:val="28"/>
          <w:szCs w:val="28"/>
        </w:rPr>
        <w:t>国家项目（如国家社会科学基金），具有重要学术影响力的研究成果依然少见。部分教师因教学任务重而忙于教学工作，用于学术与科研的时间和精力偏少，学术研究能力和水平有待提高，尤其是高层次基础教育研究成果不足。专任教师国际学术视野有待进一步拓展。</w:t>
      </w:r>
    </w:p>
    <w:p w14:paraId="269B3A79">
      <w:pPr>
        <w:keepNext w:val="0"/>
        <w:keepLines w:val="0"/>
        <w:pageBreakBefore w:val="0"/>
        <w:widowControl w:val="0"/>
        <w:kinsoku/>
        <w:wordWrap/>
        <w:overflowPunct/>
        <w:topLinePunct w:val="0"/>
        <w:autoSpaceDE w:val="0"/>
        <w:autoSpaceDN w:val="0"/>
        <w:bidi w:val="0"/>
        <w:adjustRightInd/>
        <w:snapToGrid/>
        <w:spacing w:line="500" w:lineRule="exact"/>
        <w:ind w:firstLine="548" w:firstLineChars="200"/>
        <w:jc w:val="left"/>
        <w:textAlignment w:val="auto"/>
        <w:rPr>
          <w:rFonts w:hint="eastAsia" w:ascii="仿宋" w:hAnsi="仿宋" w:eastAsia="仿宋" w:cs="仿宋"/>
          <w:color w:val="auto"/>
          <w:spacing w:val="-3"/>
          <w:sz w:val="28"/>
          <w:szCs w:val="28"/>
        </w:rPr>
      </w:pPr>
      <w:r>
        <w:rPr>
          <w:rFonts w:hint="eastAsia" w:ascii="仿宋" w:hAnsi="仿宋" w:cs="仿宋"/>
          <w:color w:val="auto"/>
          <w:spacing w:val="-3"/>
          <w:sz w:val="28"/>
          <w:szCs w:val="28"/>
          <w:lang w:val="en-US" w:eastAsia="zh-CN"/>
        </w:rPr>
        <w:t>第四，教师</w:t>
      </w:r>
      <w:r>
        <w:rPr>
          <w:rFonts w:hint="eastAsia" w:ascii="仿宋" w:hAnsi="仿宋" w:eastAsia="仿宋" w:cs="仿宋"/>
          <w:color w:val="auto"/>
          <w:spacing w:val="-3"/>
          <w:sz w:val="28"/>
          <w:szCs w:val="28"/>
        </w:rPr>
        <w:t>持续发展</w:t>
      </w:r>
      <w:r>
        <w:rPr>
          <w:rFonts w:hint="eastAsia" w:ascii="仿宋" w:hAnsi="仿宋" w:cs="仿宋"/>
          <w:color w:val="auto"/>
          <w:spacing w:val="-3"/>
          <w:sz w:val="28"/>
          <w:szCs w:val="28"/>
          <w:lang w:val="en-US" w:eastAsia="zh-CN"/>
        </w:rPr>
        <w:t>机制有待完善。一是</w:t>
      </w:r>
      <w:r>
        <w:rPr>
          <w:rFonts w:hint="eastAsia" w:ascii="仿宋" w:hAnsi="仿宋" w:eastAsia="仿宋" w:cs="仿宋"/>
          <w:color w:val="auto"/>
          <w:spacing w:val="-3"/>
          <w:sz w:val="28"/>
          <w:szCs w:val="28"/>
        </w:rPr>
        <w:t>以业绩为导向的薪酬分配制度还须不断深化改革。历经多年的探索和多次改革，学校形成了以业绩为导向的二级分配体制，但学校给予</w:t>
      </w:r>
      <w:r>
        <w:rPr>
          <w:rFonts w:hint="eastAsia" w:ascii="仿宋" w:hAnsi="仿宋" w:cs="仿宋"/>
          <w:color w:val="auto"/>
          <w:spacing w:val="-3"/>
          <w:sz w:val="28"/>
          <w:szCs w:val="28"/>
          <w:lang w:val="en-US" w:eastAsia="zh-CN"/>
        </w:rPr>
        <w:t>体育部</w:t>
      </w:r>
      <w:r>
        <w:rPr>
          <w:rFonts w:hint="eastAsia" w:ascii="仿宋" w:hAnsi="仿宋" w:eastAsia="仿宋" w:cs="仿宋"/>
          <w:color w:val="auto"/>
          <w:spacing w:val="-3"/>
          <w:sz w:val="28"/>
          <w:szCs w:val="28"/>
        </w:rPr>
        <w:t>的拨款分配要素以及</w:t>
      </w:r>
      <w:r>
        <w:rPr>
          <w:rFonts w:hint="eastAsia" w:ascii="仿宋" w:hAnsi="仿宋" w:cs="仿宋"/>
          <w:color w:val="auto"/>
          <w:spacing w:val="-3"/>
          <w:sz w:val="28"/>
          <w:szCs w:val="28"/>
          <w:lang w:val="en-US" w:eastAsia="zh-CN"/>
        </w:rPr>
        <w:t>体育部</w:t>
      </w:r>
      <w:r>
        <w:rPr>
          <w:rFonts w:hint="eastAsia" w:ascii="仿宋" w:hAnsi="仿宋" w:eastAsia="仿宋" w:cs="仿宋"/>
          <w:color w:val="auto"/>
          <w:spacing w:val="-3"/>
          <w:sz w:val="28"/>
          <w:szCs w:val="28"/>
        </w:rPr>
        <w:t>的分配方案仍有改善空间，绩效激励机制有待完善。</w:t>
      </w:r>
    </w:p>
    <w:p w14:paraId="7F1509F4">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123" w:name="_Toc20827"/>
      <w:bookmarkStart w:id="124" w:name="_Toc2686"/>
      <w:r>
        <w:rPr>
          <w:rFonts w:hint="eastAsia" w:ascii="仿宋" w:hAnsi="仿宋" w:eastAsia="仿宋" w:cs="仿宋"/>
          <w:b/>
          <w:bCs/>
          <w:color w:val="auto"/>
          <w:sz w:val="28"/>
          <w:szCs w:val="28"/>
          <w:lang w:val="en-US" w:eastAsia="zh-CN"/>
        </w:rPr>
        <w:t>4.5.2 改进措施</w:t>
      </w:r>
      <w:bookmarkEnd w:id="123"/>
      <w:bookmarkEnd w:id="124"/>
    </w:p>
    <w:p w14:paraId="28E053A7">
      <w:pPr>
        <w:keepNext w:val="0"/>
        <w:keepLines w:val="0"/>
        <w:pageBreakBefore w:val="0"/>
        <w:widowControl w:val="0"/>
        <w:kinsoku/>
        <w:wordWrap/>
        <w:overflowPunct/>
        <w:topLinePunct w:val="0"/>
        <w:autoSpaceDE w:val="0"/>
        <w:autoSpaceDN w:val="0"/>
        <w:bidi w:val="0"/>
        <w:adjustRightInd/>
        <w:snapToGrid/>
        <w:spacing w:line="500" w:lineRule="exact"/>
        <w:ind w:firstLine="548" w:firstLineChars="200"/>
        <w:jc w:val="left"/>
        <w:textAlignment w:val="auto"/>
        <w:rPr>
          <w:rFonts w:hint="eastAsia" w:ascii="仿宋" w:hAnsi="仿宋" w:eastAsia="仿宋" w:cs="仿宋"/>
          <w:color w:val="auto"/>
          <w:spacing w:val="-3"/>
          <w:sz w:val="28"/>
          <w:szCs w:val="28"/>
        </w:rPr>
      </w:pPr>
      <w:r>
        <w:rPr>
          <w:rFonts w:hint="eastAsia" w:ascii="仿宋" w:hAnsi="仿宋" w:cs="仿宋"/>
          <w:color w:val="auto"/>
          <w:spacing w:val="-3"/>
          <w:sz w:val="28"/>
          <w:szCs w:val="28"/>
          <w:lang w:val="en-US" w:eastAsia="zh-CN"/>
        </w:rPr>
        <w:t>第一，在师资结构上，引进与培养相结合，优化学缘结构。</w:t>
      </w:r>
      <w:r>
        <w:rPr>
          <w:rFonts w:hint="eastAsia" w:ascii="仿宋" w:hAnsi="仿宋" w:eastAsia="仿宋" w:cs="仿宋"/>
          <w:color w:val="auto"/>
          <w:spacing w:val="-3"/>
          <w:sz w:val="28"/>
          <w:szCs w:val="28"/>
        </w:rPr>
        <w:t>鼓励专任教师参加相关培训，提高专业素质与教学能力，鼓励有条件的教师考取</w:t>
      </w:r>
      <w:r>
        <w:rPr>
          <w:rFonts w:hint="eastAsia" w:ascii="仿宋" w:hAnsi="仿宋" w:cs="仿宋"/>
          <w:color w:val="auto"/>
          <w:spacing w:val="-3"/>
          <w:sz w:val="28"/>
          <w:szCs w:val="28"/>
          <w:lang w:val="en-US" w:eastAsia="zh-CN"/>
        </w:rPr>
        <w:t>相关</w:t>
      </w:r>
      <w:r>
        <w:rPr>
          <w:rFonts w:hint="eastAsia" w:ascii="仿宋" w:hAnsi="仿宋" w:eastAsia="仿宋" w:cs="仿宋"/>
          <w:color w:val="auto"/>
          <w:spacing w:val="-3"/>
          <w:sz w:val="28"/>
          <w:szCs w:val="28"/>
        </w:rPr>
        <w:t>方向的博士，改善教师团队的年龄结构。</w:t>
      </w:r>
    </w:p>
    <w:p w14:paraId="4946907D">
      <w:pPr>
        <w:keepNext w:val="0"/>
        <w:keepLines w:val="0"/>
        <w:pageBreakBefore w:val="0"/>
        <w:widowControl w:val="0"/>
        <w:kinsoku/>
        <w:wordWrap/>
        <w:overflowPunct/>
        <w:topLinePunct w:val="0"/>
        <w:autoSpaceDE w:val="0"/>
        <w:autoSpaceDN w:val="0"/>
        <w:bidi w:val="0"/>
        <w:adjustRightInd/>
        <w:snapToGrid/>
        <w:spacing w:line="500" w:lineRule="exact"/>
        <w:ind w:firstLine="548" w:firstLineChars="200"/>
        <w:jc w:val="left"/>
        <w:textAlignment w:val="auto"/>
        <w:rPr>
          <w:rFonts w:hint="eastAsia" w:ascii="仿宋" w:hAnsi="仿宋" w:eastAsia="仿宋" w:cs="仿宋"/>
          <w:color w:val="auto"/>
          <w:spacing w:val="-3"/>
          <w:sz w:val="28"/>
          <w:szCs w:val="28"/>
        </w:rPr>
      </w:pPr>
      <w:r>
        <w:rPr>
          <w:rFonts w:hint="eastAsia" w:ascii="仿宋" w:hAnsi="仿宋" w:cs="仿宋"/>
          <w:color w:val="auto"/>
          <w:spacing w:val="-3"/>
          <w:sz w:val="28"/>
          <w:szCs w:val="28"/>
          <w:lang w:val="en-US" w:eastAsia="zh-CN"/>
        </w:rPr>
        <w:t>第二，</w:t>
      </w:r>
      <w:r>
        <w:rPr>
          <w:rFonts w:hint="eastAsia" w:ascii="仿宋" w:hAnsi="仿宋" w:eastAsia="仿宋" w:cs="仿宋"/>
          <w:color w:val="auto"/>
          <w:spacing w:val="-3"/>
          <w:sz w:val="28"/>
          <w:szCs w:val="28"/>
        </w:rPr>
        <w:t>改革教学手段与方法，提高教学效果。</w:t>
      </w:r>
    </w:p>
    <w:p w14:paraId="1D114A44">
      <w:pPr>
        <w:keepNext w:val="0"/>
        <w:keepLines w:val="0"/>
        <w:pageBreakBefore w:val="0"/>
        <w:widowControl w:val="0"/>
        <w:kinsoku/>
        <w:wordWrap/>
        <w:overflowPunct/>
        <w:topLinePunct w:val="0"/>
        <w:autoSpaceDE w:val="0"/>
        <w:autoSpaceDN w:val="0"/>
        <w:bidi w:val="0"/>
        <w:adjustRightInd/>
        <w:snapToGrid/>
        <w:spacing w:line="500" w:lineRule="exact"/>
        <w:ind w:firstLine="548" w:firstLineChars="200"/>
        <w:jc w:val="left"/>
        <w:textAlignment w:val="auto"/>
        <w:rPr>
          <w:rFonts w:hint="eastAsia" w:ascii="仿宋" w:hAnsi="仿宋" w:eastAsia="仿宋" w:cs="仿宋"/>
          <w:color w:val="auto"/>
          <w:spacing w:val="-3"/>
          <w:sz w:val="28"/>
          <w:szCs w:val="28"/>
        </w:rPr>
      </w:pPr>
      <w:r>
        <w:rPr>
          <w:rFonts w:hint="eastAsia" w:ascii="仿宋" w:hAnsi="仿宋" w:eastAsia="仿宋" w:cs="仿宋"/>
          <w:color w:val="auto"/>
          <w:spacing w:val="-3"/>
          <w:sz w:val="28"/>
          <w:szCs w:val="28"/>
        </w:rPr>
        <w:t>（1）通过邀请校内外专家的系列讲座，帮助青年教师理清思路，明白为什么要进行教学手段与方法的改革，以及如何进行教学手段与方法的改革。</w:t>
      </w:r>
    </w:p>
    <w:p w14:paraId="283325AD">
      <w:pPr>
        <w:keepNext w:val="0"/>
        <w:keepLines w:val="0"/>
        <w:pageBreakBefore w:val="0"/>
        <w:widowControl w:val="0"/>
        <w:kinsoku/>
        <w:wordWrap/>
        <w:overflowPunct/>
        <w:topLinePunct w:val="0"/>
        <w:autoSpaceDE w:val="0"/>
        <w:autoSpaceDN w:val="0"/>
        <w:bidi w:val="0"/>
        <w:adjustRightInd/>
        <w:snapToGrid/>
        <w:spacing w:line="500" w:lineRule="exact"/>
        <w:ind w:firstLine="548" w:firstLineChars="200"/>
        <w:jc w:val="left"/>
        <w:textAlignment w:val="auto"/>
        <w:rPr>
          <w:rFonts w:hint="eastAsia" w:ascii="仿宋" w:hAnsi="仿宋" w:eastAsia="仿宋" w:cs="仿宋"/>
          <w:color w:val="auto"/>
          <w:spacing w:val="-3"/>
          <w:sz w:val="28"/>
          <w:szCs w:val="28"/>
        </w:rPr>
      </w:pPr>
      <w:r>
        <w:rPr>
          <w:rFonts w:hint="eastAsia" w:ascii="仿宋" w:hAnsi="仿宋" w:eastAsia="仿宋" w:cs="仿宋"/>
          <w:color w:val="auto"/>
          <w:spacing w:val="-3"/>
          <w:sz w:val="28"/>
          <w:szCs w:val="28"/>
        </w:rPr>
        <w:t>（2）每学期部门举办1-2次教研教改论文报告会，以此为平台促进我部教师参与教改的热情。</w:t>
      </w:r>
    </w:p>
    <w:p w14:paraId="3EDA15EC">
      <w:pPr>
        <w:keepNext w:val="0"/>
        <w:keepLines w:val="0"/>
        <w:pageBreakBefore w:val="0"/>
        <w:widowControl w:val="0"/>
        <w:kinsoku/>
        <w:wordWrap/>
        <w:overflowPunct/>
        <w:topLinePunct w:val="0"/>
        <w:autoSpaceDE w:val="0"/>
        <w:autoSpaceDN w:val="0"/>
        <w:bidi w:val="0"/>
        <w:adjustRightInd/>
        <w:snapToGrid/>
        <w:spacing w:line="500" w:lineRule="exact"/>
        <w:ind w:firstLine="548" w:firstLineChars="200"/>
        <w:jc w:val="left"/>
        <w:textAlignment w:val="auto"/>
        <w:rPr>
          <w:rFonts w:hint="eastAsia" w:ascii="仿宋" w:hAnsi="仿宋" w:eastAsia="仿宋" w:cs="仿宋"/>
          <w:color w:val="auto"/>
          <w:spacing w:val="-3"/>
          <w:sz w:val="28"/>
          <w:szCs w:val="28"/>
        </w:rPr>
      </w:pPr>
      <w:r>
        <w:rPr>
          <w:rFonts w:hint="eastAsia" w:ascii="仿宋" w:hAnsi="仿宋" w:eastAsia="仿宋" w:cs="仿宋"/>
          <w:color w:val="auto"/>
          <w:spacing w:val="-3"/>
          <w:sz w:val="28"/>
          <w:szCs w:val="28"/>
        </w:rPr>
        <w:t>（3）从2024年下学期开始，围绕如何贯彻落实“以‘终身体育’思想为指导，以学生体育素养的养成为核心价值观，以培养学生的核心体育能力为目标”的教学工作思路大讨论，形成教研教改活动常态化机制。</w:t>
      </w:r>
    </w:p>
    <w:p w14:paraId="2D7DC0A6">
      <w:pPr>
        <w:keepNext w:val="0"/>
        <w:keepLines w:val="0"/>
        <w:pageBreakBefore w:val="0"/>
        <w:widowControl w:val="0"/>
        <w:kinsoku/>
        <w:wordWrap/>
        <w:overflowPunct/>
        <w:topLinePunct w:val="0"/>
        <w:autoSpaceDE w:val="0"/>
        <w:autoSpaceDN w:val="0"/>
        <w:bidi w:val="0"/>
        <w:adjustRightInd/>
        <w:snapToGrid/>
        <w:spacing w:line="500" w:lineRule="exact"/>
        <w:ind w:firstLine="548" w:firstLineChars="200"/>
        <w:jc w:val="left"/>
        <w:textAlignment w:val="auto"/>
        <w:rPr>
          <w:rFonts w:hint="eastAsia" w:ascii="仿宋" w:hAnsi="仿宋" w:eastAsia="仿宋" w:cs="仿宋"/>
          <w:color w:val="auto"/>
          <w:spacing w:val="-3"/>
          <w:sz w:val="28"/>
          <w:szCs w:val="28"/>
        </w:rPr>
      </w:pPr>
      <w:r>
        <w:rPr>
          <w:rFonts w:hint="eastAsia" w:ascii="仿宋" w:hAnsi="仿宋" w:cs="仿宋"/>
          <w:color w:val="auto"/>
          <w:spacing w:val="-3"/>
          <w:sz w:val="28"/>
          <w:szCs w:val="28"/>
          <w:lang w:val="en-US" w:eastAsia="zh-CN"/>
        </w:rPr>
        <w:t>第三</w:t>
      </w:r>
      <w:r>
        <w:rPr>
          <w:rFonts w:hint="eastAsia" w:ascii="仿宋" w:hAnsi="仿宋" w:eastAsia="仿宋" w:cs="仿宋"/>
          <w:color w:val="auto"/>
          <w:spacing w:val="-3"/>
          <w:sz w:val="28"/>
          <w:szCs w:val="28"/>
        </w:rPr>
        <w:t>.加强管理，完善教学管理措施与制度。</w:t>
      </w:r>
    </w:p>
    <w:p w14:paraId="10838860">
      <w:pPr>
        <w:keepNext w:val="0"/>
        <w:keepLines w:val="0"/>
        <w:pageBreakBefore w:val="0"/>
        <w:widowControl w:val="0"/>
        <w:kinsoku/>
        <w:wordWrap/>
        <w:overflowPunct/>
        <w:topLinePunct w:val="0"/>
        <w:autoSpaceDE w:val="0"/>
        <w:autoSpaceDN w:val="0"/>
        <w:bidi w:val="0"/>
        <w:adjustRightInd/>
        <w:snapToGrid/>
        <w:spacing w:line="500" w:lineRule="exact"/>
        <w:ind w:firstLine="548" w:firstLineChars="200"/>
        <w:jc w:val="left"/>
        <w:textAlignment w:val="auto"/>
        <w:rPr>
          <w:rFonts w:hint="eastAsia" w:ascii="仿宋" w:hAnsi="仿宋" w:eastAsia="仿宋" w:cs="仿宋"/>
          <w:color w:val="auto"/>
          <w:spacing w:val="-3"/>
          <w:sz w:val="28"/>
          <w:szCs w:val="28"/>
        </w:rPr>
      </w:pPr>
      <w:r>
        <w:rPr>
          <w:rFonts w:hint="eastAsia" w:ascii="仿宋" w:hAnsi="仿宋" w:eastAsia="仿宋" w:cs="仿宋"/>
          <w:color w:val="auto"/>
          <w:spacing w:val="-3"/>
          <w:sz w:val="28"/>
          <w:szCs w:val="28"/>
        </w:rPr>
        <w:t>（1）明确中心、抓住重点、突破难点。体育教学是一个复杂的系统，但实践表明，教研室建设、课堂教学、学生学习是影响教学质量的关键因素。因为教研室集教学、科研、管理于一体，教研室工作状况直接影响教师的“教”，从而影响学生的“学”。教研室全面建设，取决于教研室主任的思想业务素质、组织能力、开拓创新意识和敬业奉献精神。如何将教师的精力放到教学上来，将学生学习积极性激发起来，是教学管理的难点。因此，要加强对教师事业心、责任感的教育和培养，充分发挥中老年教师的榜样作用。同时努力为教师创造一个优良的教学、科研环境，鼓励青年教师进修学。实行“教师教学工作承诺制”，即以什么样的教学风貌投入教学以及达到什么样的实际效果，并由教师作出承诺。</w:t>
      </w:r>
    </w:p>
    <w:p w14:paraId="190A3FCF">
      <w:pPr>
        <w:keepNext w:val="0"/>
        <w:keepLines w:val="0"/>
        <w:pageBreakBefore w:val="0"/>
        <w:widowControl w:val="0"/>
        <w:kinsoku/>
        <w:wordWrap/>
        <w:overflowPunct/>
        <w:topLinePunct w:val="0"/>
        <w:autoSpaceDE w:val="0"/>
        <w:autoSpaceDN w:val="0"/>
        <w:bidi w:val="0"/>
        <w:adjustRightInd/>
        <w:snapToGrid/>
        <w:spacing w:line="500" w:lineRule="exact"/>
        <w:ind w:firstLine="548" w:firstLineChars="200"/>
        <w:jc w:val="left"/>
        <w:textAlignment w:val="auto"/>
        <w:rPr>
          <w:rFonts w:hint="eastAsia" w:ascii="仿宋" w:hAnsi="仿宋" w:eastAsia="仿宋" w:cs="仿宋"/>
          <w:color w:val="auto"/>
          <w:spacing w:val="-3"/>
          <w:sz w:val="28"/>
          <w:szCs w:val="28"/>
        </w:rPr>
      </w:pPr>
      <w:r>
        <w:rPr>
          <w:rFonts w:hint="eastAsia" w:ascii="仿宋" w:hAnsi="仿宋" w:eastAsia="仿宋" w:cs="仿宋"/>
          <w:color w:val="auto"/>
          <w:spacing w:val="-3"/>
          <w:sz w:val="28"/>
          <w:szCs w:val="28"/>
        </w:rPr>
        <w:t>（2）完善现行规章制度，加强制度管理。制度管理包括二个方面：一是以制度严格规范教学过程，同时还要完善现行制度，并根据教学需要和人才培养的要求建立新制度。二是制订出的制度，要坚决执行，有章必行，违章必究。其他治教手段都应同制度结合起来，形成完整、统一互动的教学管理机制。</w:t>
      </w:r>
    </w:p>
    <w:p w14:paraId="4BCAFBC5">
      <w:pPr>
        <w:keepNext w:val="0"/>
        <w:keepLines w:val="0"/>
        <w:pageBreakBefore w:val="0"/>
        <w:widowControl w:val="0"/>
        <w:kinsoku/>
        <w:wordWrap/>
        <w:overflowPunct/>
        <w:topLinePunct w:val="0"/>
        <w:autoSpaceDE w:val="0"/>
        <w:autoSpaceDN w:val="0"/>
        <w:bidi w:val="0"/>
        <w:adjustRightInd/>
        <w:snapToGrid/>
        <w:spacing w:line="500" w:lineRule="exact"/>
        <w:ind w:firstLine="548" w:firstLineChars="200"/>
        <w:jc w:val="left"/>
        <w:textAlignment w:val="auto"/>
        <w:rPr>
          <w:rFonts w:hint="eastAsia" w:ascii="仿宋" w:hAnsi="仿宋" w:eastAsia="仿宋" w:cs="仿宋"/>
          <w:color w:val="auto"/>
          <w:spacing w:val="-3"/>
          <w:sz w:val="28"/>
          <w:szCs w:val="28"/>
        </w:rPr>
      </w:pPr>
      <w:r>
        <w:rPr>
          <w:rFonts w:hint="eastAsia" w:ascii="仿宋" w:hAnsi="仿宋" w:eastAsia="仿宋" w:cs="仿宋"/>
          <w:color w:val="auto"/>
          <w:spacing w:val="-3"/>
          <w:sz w:val="28"/>
          <w:szCs w:val="28"/>
        </w:rPr>
        <w:t>（3）建立教与学信息反馈“链”。部门、教研室应主动建立信息反馈渠道，详细了解教与学的实际情况，并及时组织人员对其进行分析、归纳，然后再反馈到教学实践中去，从而不断调整教学管理工作，调节控制教学过程。</w:t>
      </w:r>
    </w:p>
    <w:p w14:paraId="75CEDBD0">
      <w:pPr>
        <w:keepNext w:val="0"/>
        <w:keepLines w:val="0"/>
        <w:pageBreakBefore w:val="0"/>
        <w:widowControl w:val="0"/>
        <w:kinsoku/>
        <w:wordWrap/>
        <w:overflowPunct/>
        <w:topLinePunct w:val="0"/>
        <w:autoSpaceDE w:val="0"/>
        <w:autoSpaceDN w:val="0"/>
        <w:bidi w:val="0"/>
        <w:adjustRightInd/>
        <w:snapToGrid/>
        <w:spacing w:line="500" w:lineRule="exact"/>
        <w:ind w:firstLine="548" w:firstLineChars="200"/>
        <w:jc w:val="left"/>
        <w:textAlignment w:val="auto"/>
        <w:rPr>
          <w:rFonts w:hint="eastAsia" w:ascii="仿宋" w:hAnsi="仿宋" w:eastAsia="仿宋" w:cs="仿宋"/>
          <w:color w:val="auto"/>
          <w:spacing w:val="-3"/>
          <w:sz w:val="28"/>
          <w:szCs w:val="28"/>
        </w:rPr>
      </w:pPr>
      <w:r>
        <w:rPr>
          <w:rFonts w:hint="eastAsia" w:ascii="仿宋" w:hAnsi="仿宋" w:eastAsia="仿宋" w:cs="仿宋"/>
          <w:color w:val="auto"/>
          <w:spacing w:val="-3"/>
          <w:sz w:val="28"/>
          <w:szCs w:val="28"/>
        </w:rPr>
        <w:t>（4）强化部教学指导委员会的职能，进一步加强对教研室、教师教学工作的评估检查。在现有的期初、期中、期末检查工作的基础上，以教研室工作质量评估、课堂教学质量评估、学生学习质量评估为重点，把学校、部门的评估与体育教学管理工作真正有机结合起来，真正落实到教师与学生双方互动行为之中。</w:t>
      </w:r>
    </w:p>
    <w:p w14:paraId="5445FD57">
      <w:pPr>
        <w:keepNext w:val="0"/>
        <w:keepLines w:val="0"/>
        <w:pageBreakBefore w:val="0"/>
        <w:widowControl w:val="0"/>
        <w:kinsoku/>
        <w:wordWrap/>
        <w:overflowPunct/>
        <w:topLinePunct w:val="0"/>
        <w:autoSpaceDE w:val="0"/>
        <w:autoSpaceDN w:val="0"/>
        <w:bidi w:val="0"/>
        <w:adjustRightInd/>
        <w:snapToGrid/>
        <w:spacing w:line="500" w:lineRule="exact"/>
        <w:ind w:firstLine="548" w:firstLineChars="200"/>
        <w:jc w:val="left"/>
        <w:textAlignment w:val="auto"/>
        <w:rPr>
          <w:rFonts w:hint="eastAsia" w:ascii="仿宋" w:hAnsi="仿宋" w:eastAsia="仿宋" w:cs="仿宋"/>
          <w:color w:val="auto"/>
          <w:spacing w:val="-3"/>
          <w:sz w:val="28"/>
          <w:szCs w:val="28"/>
        </w:rPr>
      </w:pPr>
      <w:r>
        <w:rPr>
          <w:rFonts w:hint="eastAsia" w:ascii="仿宋" w:hAnsi="仿宋" w:cs="仿宋"/>
          <w:color w:val="auto"/>
          <w:spacing w:val="-3"/>
          <w:sz w:val="28"/>
          <w:szCs w:val="28"/>
          <w:lang w:val="en-US" w:eastAsia="zh-CN"/>
        </w:rPr>
        <w:t>第四</w:t>
      </w:r>
      <w:r>
        <w:rPr>
          <w:rFonts w:hint="eastAsia" w:ascii="仿宋" w:hAnsi="仿宋" w:eastAsia="仿宋" w:cs="仿宋"/>
          <w:color w:val="auto"/>
          <w:spacing w:val="-3"/>
          <w:sz w:val="28"/>
          <w:szCs w:val="28"/>
        </w:rPr>
        <w:t>.加强教学互动，课内与课外相结合。</w:t>
      </w:r>
    </w:p>
    <w:p w14:paraId="6ECF4C0E">
      <w:pPr>
        <w:keepNext w:val="0"/>
        <w:keepLines w:val="0"/>
        <w:pageBreakBefore w:val="0"/>
        <w:widowControl w:val="0"/>
        <w:kinsoku/>
        <w:wordWrap/>
        <w:overflowPunct/>
        <w:topLinePunct w:val="0"/>
        <w:autoSpaceDE w:val="0"/>
        <w:autoSpaceDN w:val="0"/>
        <w:bidi w:val="0"/>
        <w:adjustRightInd/>
        <w:snapToGrid/>
        <w:spacing w:line="500" w:lineRule="exact"/>
        <w:ind w:firstLine="548" w:firstLineChars="200"/>
        <w:jc w:val="left"/>
        <w:textAlignment w:val="auto"/>
        <w:rPr>
          <w:rFonts w:hint="eastAsia" w:ascii="仿宋" w:hAnsi="仿宋" w:eastAsia="仿宋" w:cs="仿宋"/>
          <w:color w:val="auto"/>
          <w:spacing w:val="-3"/>
          <w:sz w:val="28"/>
          <w:szCs w:val="28"/>
        </w:rPr>
      </w:pPr>
      <w:r>
        <w:rPr>
          <w:rFonts w:hint="eastAsia" w:ascii="仿宋" w:hAnsi="仿宋" w:eastAsia="仿宋" w:cs="仿宋"/>
          <w:color w:val="auto"/>
          <w:spacing w:val="-3"/>
          <w:sz w:val="28"/>
          <w:szCs w:val="28"/>
        </w:rPr>
        <w:t>（1）以部门网站为平台，以网络为桥梁，沟通学生、体质评价信息与教师之间的联系，及时反馈学生的体质测试成绩及对体质测试结果的评价与分析，对学生的课外锻炼给予运动处方指导，更好地为学生的健身活动服务。</w:t>
      </w:r>
    </w:p>
    <w:p w14:paraId="568D54B9">
      <w:pPr>
        <w:keepNext w:val="0"/>
        <w:keepLines w:val="0"/>
        <w:pageBreakBefore w:val="0"/>
        <w:widowControl w:val="0"/>
        <w:kinsoku/>
        <w:wordWrap/>
        <w:overflowPunct/>
        <w:topLinePunct w:val="0"/>
        <w:autoSpaceDE w:val="0"/>
        <w:autoSpaceDN w:val="0"/>
        <w:bidi w:val="0"/>
        <w:adjustRightInd/>
        <w:snapToGrid/>
        <w:spacing w:line="500" w:lineRule="exact"/>
        <w:ind w:firstLine="548" w:firstLineChars="200"/>
        <w:jc w:val="left"/>
        <w:textAlignment w:val="auto"/>
        <w:rPr>
          <w:rFonts w:hint="eastAsia" w:ascii="仿宋" w:hAnsi="仿宋" w:eastAsia="仿宋" w:cs="仿宋"/>
          <w:color w:val="auto"/>
          <w:spacing w:val="-3"/>
          <w:sz w:val="28"/>
          <w:szCs w:val="28"/>
        </w:rPr>
      </w:pPr>
      <w:r>
        <w:rPr>
          <w:rFonts w:hint="eastAsia" w:ascii="仿宋" w:hAnsi="仿宋" w:eastAsia="仿宋" w:cs="仿宋"/>
          <w:color w:val="auto"/>
          <w:spacing w:val="-3"/>
          <w:sz w:val="28"/>
          <w:szCs w:val="28"/>
        </w:rPr>
        <w:t>（2）加强我校学生“终身体育、体育素养、体育核心能力”的宣传教育工作。每学期定期举办有关学生体质健康测试和课外体育锻炼的专题讲座，充分利用校园广播、报纸和网络等媒体优势，加强对二者的宣传。</w:t>
      </w:r>
    </w:p>
    <w:p w14:paraId="388218C5">
      <w:pPr>
        <w:keepNext w:val="0"/>
        <w:keepLines w:val="0"/>
        <w:pageBreakBefore w:val="0"/>
        <w:widowControl w:val="0"/>
        <w:kinsoku/>
        <w:wordWrap/>
        <w:overflowPunct/>
        <w:topLinePunct w:val="0"/>
        <w:autoSpaceDE w:val="0"/>
        <w:autoSpaceDN w:val="0"/>
        <w:bidi w:val="0"/>
        <w:adjustRightInd/>
        <w:snapToGrid/>
        <w:spacing w:line="500" w:lineRule="exact"/>
        <w:ind w:firstLine="548" w:firstLineChars="200"/>
        <w:jc w:val="left"/>
        <w:textAlignment w:val="auto"/>
        <w:rPr>
          <w:rFonts w:hint="eastAsia" w:ascii="仿宋" w:hAnsi="仿宋" w:eastAsia="仿宋" w:cs="仿宋"/>
          <w:color w:val="auto"/>
        </w:rPr>
      </w:pPr>
      <w:r>
        <w:rPr>
          <w:rFonts w:hint="eastAsia" w:ascii="仿宋" w:hAnsi="仿宋" w:eastAsia="仿宋" w:cs="仿宋"/>
          <w:color w:val="auto"/>
          <w:spacing w:val="-3"/>
          <w:sz w:val="28"/>
          <w:szCs w:val="28"/>
        </w:rPr>
        <w:t xml:space="preserve">（3）构建有组织锻炼与自由锻炼相结合的管理与评价体系。     </w:t>
      </w:r>
      <w:r>
        <w:rPr>
          <w:rFonts w:hint="eastAsia" w:ascii="仿宋" w:hAnsi="仿宋" w:cs="仿宋"/>
          <w:color w:val="auto"/>
          <w:spacing w:val="-3"/>
          <w:sz w:val="28"/>
          <w:szCs w:val="28"/>
          <w:lang w:val="en-US" w:eastAsia="zh-CN"/>
        </w:rPr>
        <w:t>第五，我部</w:t>
      </w:r>
      <w:r>
        <w:rPr>
          <w:rFonts w:hint="eastAsia" w:ascii="仿宋" w:hAnsi="仿宋" w:eastAsia="仿宋" w:cs="仿宋"/>
          <w:color w:val="auto"/>
          <w:spacing w:val="-3"/>
          <w:sz w:val="28"/>
          <w:szCs w:val="28"/>
        </w:rPr>
        <w:t>还需出台更多鼓励教师进行教学研究的激励措施，健全教师队伍考评机制，注重对教师实践教学成果的考查，考评结果与教师的评优评先、绩效津贴、职称评聘等挂钩</w:t>
      </w:r>
      <w:r>
        <w:rPr>
          <w:rFonts w:hint="eastAsia" w:ascii="仿宋" w:hAnsi="仿宋" w:cs="仿宋"/>
          <w:color w:val="auto"/>
          <w:spacing w:val="-3"/>
          <w:sz w:val="28"/>
          <w:szCs w:val="28"/>
          <w:lang w:eastAsia="zh-CN"/>
        </w:rPr>
        <w:t>。</w:t>
      </w:r>
    </w:p>
    <w:p w14:paraId="2D54A8FF">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eastAsia" w:ascii="黑体" w:hAnsi="黑体" w:eastAsia="黑体" w:cs="黑体"/>
          <w:b/>
          <w:bCs/>
          <w:color w:val="auto"/>
          <w:sz w:val="32"/>
          <w:szCs w:val="32"/>
          <w:lang w:val="en-US" w:eastAsia="zh-CN"/>
        </w:rPr>
      </w:pPr>
      <w:bookmarkStart w:id="125" w:name="_Toc28258"/>
      <w:r>
        <w:rPr>
          <w:rFonts w:hint="eastAsia" w:ascii="黑体" w:hAnsi="黑体" w:eastAsia="黑体" w:cs="黑体"/>
          <w:b/>
          <w:bCs/>
          <w:color w:val="auto"/>
          <w:sz w:val="32"/>
          <w:szCs w:val="32"/>
          <w:lang w:val="en-US" w:eastAsia="zh-CN"/>
        </w:rPr>
        <w:t>5. 学生发展</w:t>
      </w:r>
      <w:bookmarkEnd w:id="125"/>
    </w:p>
    <w:p w14:paraId="3082A217">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eastAsia" w:ascii="黑体" w:hAnsi="黑体" w:eastAsia="黑体" w:cs="黑体"/>
          <w:b/>
          <w:bCs/>
          <w:color w:val="auto"/>
          <w:sz w:val="32"/>
          <w:szCs w:val="32"/>
          <w:lang w:val="en-US" w:eastAsia="zh-CN"/>
        </w:rPr>
      </w:pPr>
      <w:bookmarkStart w:id="126" w:name="_Toc20657"/>
      <w:r>
        <w:rPr>
          <w:rFonts w:hint="eastAsia" w:ascii="黑体" w:hAnsi="黑体" w:eastAsia="黑体" w:cs="黑体"/>
          <w:b/>
          <w:bCs/>
          <w:color w:val="auto"/>
          <w:sz w:val="32"/>
          <w:szCs w:val="32"/>
          <w:lang w:val="en-US" w:eastAsia="zh-CN"/>
        </w:rPr>
        <w:t>5.1 理想信念</w:t>
      </w:r>
      <w:bookmarkEnd w:id="126"/>
    </w:p>
    <w:p w14:paraId="6B5C6F0F">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127" w:name="_Toc20608"/>
      <w:bookmarkStart w:id="128" w:name="_Toc28122"/>
      <w:r>
        <w:rPr>
          <w:rFonts w:hint="eastAsia" w:ascii="仿宋" w:hAnsi="仿宋" w:eastAsia="仿宋" w:cs="仿宋"/>
          <w:b/>
          <w:bCs/>
          <w:color w:val="auto"/>
          <w:sz w:val="28"/>
          <w:szCs w:val="28"/>
          <w:lang w:val="en-US" w:eastAsia="zh-CN"/>
        </w:rPr>
        <w:t>5.1.1坚定学生理想信念，提升学生品德修养</w:t>
      </w:r>
      <w:bookmarkEnd w:id="127"/>
      <w:bookmarkEnd w:id="128"/>
    </w:p>
    <w:p w14:paraId="080FC3EC">
      <w:pPr>
        <w:pageBreakBefore w:val="0"/>
        <w:widowControl w:val="0"/>
        <w:kinsoku/>
        <w:wordWrap/>
        <w:overflowPunct/>
        <w:topLinePunct w:val="0"/>
        <w:autoSpaceDE w:val="0"/>
        <w:autoSpaceDN w:val="0"/>
        <w:bidi w:val="0"/>
        <w:adjustRightInd/>
        <w:snapToGrid/>
        <w:spacing w:line="500" w:lineRule="exact"/>
        <w:ind w:firstLine="548" w:firstLineChars="200"/>
        <w:jc w:val="left"/>
        <w:textAlignment w:val="auto"/>
        <w:rPr>
          <w:rFonts w:hint="eastAsia" w:ascii="仿宋" w:hAnsi="仿宋" w:eastAsia="仿宋" w:cs="仿宋"/>
          <w:color w:val="auto"/>
          <w:spacing w:val="-3"/>
          <w:kern w:val="0"/>
          <w:sz w:val="28"/>
          <w:szCs w:val="28"/>
          <w:lang w:val="en-US" w:eastAsia="zh-CN" w:bidi="zh-CN"/>
        </w:rPr>
      </w:pPr>
      <w:r>
        <w:rPr>
          <w:rFonts w:hint="eastAsia" w:ascii="仿宋" w:hAnsi="仿宋" w:cs="仿宋"/>
          <w:color w:val="auto"/>
          <w:spacing w:val="-3"/>
          <w:kern w:val="0"/>
          <w:sz w:val="28"/>
          <w:szCs w:val="28"/>
          <w:lang w:val="en-US" w:eastAsia="zh-CN" w:bidi="zh-CN"/>
        </w:rPr>
        <w:t>第一.</w:t>
      </w:r>
      <w:r>
        <w:rPr>
          <w:rFonts w:hint="eastAsia" w:ascii="仿宋" w:hAnsi="仿宋" w:eastAsia="仿宋" w:cs="仿宋"/>
          <w:color w:val="auto"/>
          <w:spacing w:val="-3"/>
          <w:kern w:val="0"/>
          <w:sz w:val="28"/>
          <w:szCs w:val="28"/>
          <w:lang w:val="en-US" w:eastAsia="zh-CN" w:bidi="zh-CN"/>
        </w:rPr>
        <w:t>我校大学体育教学一直将思想政治教育融入体育课程。</w:t>
      </w:r>
    </w:p>
    <w:p w14:paraId="0A8DB353">
      <w:pPr>
        <w:pageBreakBefore w:val="0"/>
        <w:widowControl w:val="0"/>
        <w:kinsoku/>
        <w:wordWrap/>
        <w:overflowPunct/>
        <w:topLinePunct w:val="0"/>
        <w:autoSpaceDE w:val="0"/>
        <w:autoSpaceDN w:val="0"/>
        <w:bidi w:val="0"/>
        <w:adjustRightInd/>
        <w:snapToGrid/>
        <w:spacing w:line="500" w:lineRule="exact"/>
        <w:ind w:firstLine="548" w:firstLineChars="200"/>
        <w:jc w:val="left"/>
        <w:textAlignment w:val="auto"/>
        <w:rPr>
          <w:rFonts w:hint="eastAsia" w:ascii="仿宋" w:hAnsi="仿宋" w:eastAsia="仿宋" w:cs="仿宋"/>
          <w:color w:val="auto"/>
          <w:spacing w:val="-3"/>
          <w:kern w:val="0"/>
          <w:sz w:val="28"/>
          <w:szCs w:val="28"/>
          <w:lang w:val="en-US" w:eastAsia="zh-CN" w:bidi="zh-CN"/>
        </w:rPr>
      </w:pPr>
      <w:r>
        <w:rPr>
          <w:rFonts w:hint="eastAsia" w:ascii="仿宋" w:hAnsi="仿宋" w:eastAsia="仿宋" w:cs="仿宋"/>
          <w:color w:val="auto"/>
          <w:spacing w:val="-3"/>
          <w:kern w:val="0"/>
          <w:sz w:val="28"/>
          <w:szCs w:val="28"/>
          <w:lang w:val="en-US" w:eastAsia="zh-CN" w:bidi="zh-CN"/>
        </w:rPr>
        <w:t>开设“体育思政”课程，利用体育活动的特点，培养学生的爱国主义情怀、集体主义精神和社会责任感。具体从以下几个方面：整合大学体育与思政教育目标</w:t>
      </w:r>
      <w:r>
        <w:rPr>
          <w:rFonts w:hint="default" w:ascii="仿宋" w:hAnsi="仿宋" w:eastAsia="仿宋" w:cs="仿宋"/>
          <w:color w:val="auto"/>
          <w:spacing w:val="-3"/>
          <w:kern w:val="0"/>
          <w:sz w:val="28"/>
          <w:szCs w:val="28"/>
          <w:lang w:val="en-US" w:eastAsia="zh-CN" w:bidi="zh-CN"/>
        </w:rPr>
        <w:t>：明确</w:t>
      </w:r>
      <w:r>
        <w:rPr>
          <w:rFonts w:hint="eastAsia" w:ascii="仿宋" w:hAnsi="仿宋" w:eastAsia="仿宋" w:cs="仿宋"/>
          <w:color w:val="auto"/>
          <w:spacing w:val="-3"/>
          <w:kern w:val="0"/>
          <w:sz w:val="28"/>
          <w:szCs w:val="28"/>
          <w:lang w:val="en-US" w:eastAsia="zh-CN" w:bidi="zh-CN"/>
        </w:rPr>
        <w:t>大学</w:t>
      </w:r>
      <w:r>
        <w:rPr>
          <w:rFonts w:hint="default" w:ascii="仿宋" w:hAnsi="仿宋" w:eastAsia="仿宋" w:cs="仿宋"/>
          <w:color w:val="auto"/>
          <w:spacing w:val="-3"/>
          <w:kern w:val="0"/>
          <w:sz w:val="28"/>
          <w:szCs w:val="28"/>
          <w:lang w:val="en-US" w:eastAsia="zh-CN" w:bidi="zh-CN"/>
        </w:rPr>
        <w:t>体育课程不仅仅是为了提高学生的身体素</w:t>
      </w:r>
      <w:r>
        <w:rPr>
          <w:rFonts w:hint="eastAsia" w:ascii="仿宋" w:hAnsi="仿宋" w:eastAsia="仿宋" w:cs="仿宋"/>
          <w:color w:val="auto"/>
          <w:spacing w:val="-3"/>
          <w:kern w:val="0"/>
          <w:sz w:val="28"/>
          <w:szCs w:val="28"/>
          <w:lang w:val="en-US" w:eastAsia="zh-CN" w:bidi="zh-CN"/>
        </w:rPr>
        <w:t>质</w:t>
      </w:r>
      <w:r>
        <w:rPr>
          <w:rFonts w:hint="default" w:ascii="仿宋" w:hAnsi="仿宋" w:eastAsia="仿宋" w:cs="仿宋"/>
          <w:color w:val="auto"/>
          <w:spacing w:val="-3"/>
          <w:kern w:val="0"/>
          <w:sz w:val="28"/>
          <w:szCs w:val="28"/>
          <w:lang w:val="en-US" w:eastAsia="zh-CN" w:bidi="zh-CN"/>
        </w:rPr>
        <w:t>，还通过体育活动传递社会主义核心价值观，培养学生的道德品质和社会责任感。设计主题体育活动：围绕特定的思政主题设计体育课程和活动，如“团结协作”、“公平竞争”、“坚韧不拔”等，通过</w:t>
      </w:r>
      <w:r>
        <w:rPr>
          <w:rFonts w:hint="eastAsia" w:ascii="仿宋" w:hAnsi="仿宋" w:eastAsia="仿宋" w:cs="仿宋"/>
          <w:color w:val="auto"/>
          <w:spacing w:val="-3"/>
          <w:kern w:val="0"/>
          <w:sz w:val="28"/>
          <w:szCs w:val="28"/>
          <w:lang w:val="en-US" w:eastAsia="zh-CN" w:bidi="zh-CN"/>
        </w:rPr>
        <w:t>一年一度的学校阳光体育比赛如</w:t>
      </w:r>
      <w:r>
        <w:rPr>
          <w:rFonts w:hint="default" w:ascii="仿宋" w:hAnsi="仿宋" w:eastAsia="仿宋" w:cs="仿宋"/>
          <w:color w:val="auto"/>
          <w:spacing w:val="-3"/>
          <w:kern w:val="0"/>
          <w:sz w:val="28"/>
          <w:szCs w:val="28"/>
          <w:lang w:val="en-US" w:eastAsia="zh-CN" w:bidi="zh-CN"/>
        </w:rPr>
        <w:t>足球、篮球、排球等</w:t>
      </w:r>
      <w:r>
        <w:rPr>
          <w:rFonts w:hint="eastAsia" w:ascii="仿宋" w:hAnsi="仿宋" w:eastAsia="仿宋" w:cs="仿宋"/>
          <w:color w:val="auto"/>
          <w:spacing w:val="-3"/>
          <w:kern w:val="0"/>
          <w:sz w:val="28"/>
          <w:szCs w:val="28"/>
          <w:lang w:val="en-US" w:eastAsia="zh-CN" w:bidi="zh-CN"/>
        </w:rPr>
        <w:t>项目的</w:t>
      </w:r>
      <w:r>
        <w:rPr>
          <w:rFonts w:hint="default" w:ascii="仿宋" w:hAnsi="仿宋" w:eastAsia="仿宋" w:cs="仿宋"/>
          <w:color w:val="auto"/>
          <w:spacing w:val="-3"/>
          <w:kern w:val="0"/>
          <w:sz w:val="28"/>
          <w:szCs w:val="28"/>
          <w:lang w:val="en-US" w:eastAsia="zh-CN" w:bidi="zh-CN"/>
        </w:rPr>
        <w:t>团队运动来强化这些主题。融入中国体育精神：在体育</w:t>
      </w:r>
      <w:r>
        <w:rPr>
          <w:rFonts w:hint="eastAsia" w:ascii="仿宋" w:hAnsi="仿宋" w:eastAsia="仿宋" w:cs="仿宋"/>
          <w:color w:val="auto"/>
          <w:spacing w:val="-3"/>
          <w:kern w:val="0"/>
          <w:sz w:val="28"/>
          <w:szCs w:val="28"/>
          <w:lang w:val="en-US" w:eastAsia="zh-CN" w:bidi="zh-CN"/>
        </w:rPr>
        <w:t>课堂</w:t>
      </w:r>
      <w:r>
        <w:rPr>
          <w:rFonts w:hint="default" w:ascii="仿宋" w:hAnsi="仿宋" w:eastAsia="仿宋" w:cs="仿宋"/>
          <w:color w:val="auto"/>
          <w:spacing w:val="-3"/>
          <w:kern w:val="0"/>
          <w:sz w:val="28"/>
          <w:szCs w:val="28"/>
          <w:lang w:val="en-US" w:eastAsia="zh-CN" w:bidi="zh-CN"/>
        </w:rPr>
        <w:t>教学</w:t>
      </w:r>
      <w:r>
        <w:rPr>
          <w:rFonts w:hint="eastAsia" w:ascii="仿宋" w:hAnsi="仿宋" w:eastAsia="仿宋" w:cs="仿宋"/>
          <w:color w:val="auto"/>
          <w:spacing w:val="-3"/>
          <w:kern w:val="0"/>
          <w:sz w:val="28"/>
          <w:szCs w:val="28"/>
          <w:lang w:val="en-US" w:eastAsia="zh-CN" w:bidi="zh-CN"/>
        </w:rPr>
        <w:t>与训练</w:t>
      </w:r>
      <w:r>
        <w:rPr>
          <w:rFonts w:hint="default" w:ascii="仿宋" w:hAnsi="仿宋" w:eastAsia="仿宋" w:cs="仿宋"/>
          <w:color w:val="auto"/>
          <w:spacing w:val="-3"/>
          <w:kern w:val="0"/>
          <w:sz w:val="28"/>
          <w:szCs w:val="28"/>
          <w:lang w:val="en-US" w:eastAsia="zh-CN" w:bidi="zh-CN"/>
        </w:rPr>
        <w:t>中</w:t>
      </w:r>
      <w:r>
        <w:rPr>
          <w:rFonts w:hint="eastAsia" w:ascii="仿宋" w:hAnsi="仿宋" w:eastAsia="仿宋" w:cs="仿宋"/>
          <w:color w:val="auto"/>
          <w:spacing w:val="-3"/>
          <w:kern w:val="0"/>
          <w:sz w:val="28"/>
          <w:szCs w:val="28"/>
          <w:lang w:val="en-US" w:eastAsia="zh-CN" w:bidi="zh-CN"/>
        </w:rPr>
        <w:t>要求老师</w:t>
      </w:r>
      <w:r>
        <w:rPr>
          <w:rFonts w:hint="default" w:ascii="仿宋" w:hAnsi="仿宋" w:eastAsia="仿宋" w:cs="仿宋"/>
          <w:color w:val="auto"/>
          <w:spacing w:val="-3"/>
          <w:kern w:val="0"/>
          <w:sz w:val="28"/>
          <w:szCs w:val="28"/>
          <w:lang w:val="en-US" w:eastAsia="zh-CN" w:bidi="zh-CN"/>
        </w:rPr>
        <w:t>融入中国体育健儿的奋斗故事和精神，如奥运冠军的励志经历，以及中国传统体育项目的介绍，增强</w:t>
      </w:r>
      <w:r>
        <w:rPr>
          <w:rFonts w:hint="eastAsia" w:ascii="仿宋" w:hAnsi="仿宋" w:eastAsia="仿宋" w:cs="仿宋"/>
          <w:color w:val="auto"/>
          <w:spacing w:val="-3"/>
          <w:kern w:val="0"/>
          <w:sz w:val="28"/>
          <w:szCs w:val="28"/>
          <w:lang w:val="en-US" w:eastAsia="zh-CN" w:bidi="zh-CN"/>
        </w:rPr>
        <w:t>我校</w:t>
      </w:r>
      <w:r>
        <w:rPr>
          <w:rFonts w:hint="default" w:ascii="仿宋" w:hAnsi="仿宋" w:eastAsia="仿宋" w:cs="仿宋"/>
          <w:color w:val="auto"/>
          <w:spacing w:val="-3"/>
          <w:kern w:val="0"/>
          <w:sz w:val="28"/>
          <w:szCs w:val="28"/>
          <w:lang w:val="en-US" w:eastAsia="zh-CN" w:bidi="zh-CN"/>
        </w:rPr>
        <w:t>学生的民族自豪感和文化自信。实践社会责任：</w:t>
      </w:r>
      <w:r>
        <w:rPr>
          <w:rFonts w:hint="eastAsia" w:ascii="仿宋" w:hAnsi="仿宋" w:eastAsia="仿宋" w:cs="仿宋"/>
          <w:color w:val="auto"/>
          <w:spacing w:val="-3"/>
          <w:kern w:val="0"/>
          <w:sz w:val="28"/>
          <w:szCs w:val="28"/>
          <w:lang w:val="en-US" w:eastAsia="zh-CN" w:bidi="zh-CN"/>
        </w:rPr>
        <w:t>经常</w:t>
      </w:r>
      <w:r>
        <w:rPr>
          <w:rFonts w:hint="default" w:ascii="仿宋" w:hAnsi="仿宋" w:eastAsia="仿宋" w:cs="仿宋"/>
          <w:color w:val="auto"/>
          <w:spacing w:val="-3"/>
          <w:kern w:val="0"/>
          <w:sz w:val="28"/>
          <w:szCs w:val="28"/>
          <w:lang w:val="en-US" w:eastAsia="zh-CN" w:bidi="zh-CN"/>
        </w:rPr>
        <w:t>组织学生参与社区体育服务、公益活动或体育志愿服务，</w:t>
      </w:r>
      <w:r>
        <w:rPr>
          <w:rFonts w:hint="eastAsia" w:ascii="仿宋" w:hAnsi="仿宋" w:eastAsia="仿宋" w:cs="仿宋"/>
          <w:color w:val="auto"/>
          <w:spacing w:val="-3"/>
          <w:kern w:val="0"/>
          <w:sz w:val="28"/>
          <w:szCs w:val="28"/>
          <w:lang w:val="en-US" w:eastAsia="zh-CN" w:bidi="zh-CN"/>
        </w:rPr>
        <w:t>如2023年6月组织校健美操队赴长沙市天心区养老院敬老活动，</w:t>
      </w:r>
      <w:r>
        <w:rPr>
          <w:rFonts w:hint="default" w:ascii="仿宋" w:hAnsi="仿宋" w:eastAsia="仿宋" w:cs="仿宋"/>
          <w:color w:val="auto"/>
          <w:spacing w:val="-3"/>
          <w:kern w:val="0"/>
          <w:sz w:val="28"/>
          <w:szCs w:val="28"/>
          <w:lang w:val="en-US" w:eastAsia="zh-CN" w:bidi="zh-CN"/>
        </w:rPr>
        <w:t>通过实践活动让学生体验服务社会的重要性，培养他们的社会责任感。在体育活动后安排时间进行反思和讨论，引导</w:t>
      </w:r>
      <w:r>
        <w:rPr>
          <w:rFonts w:hint="eastAsia" w:ascii="仿宋" w:hAnsi="仿宋" w:eastAsia="仿宋" w:cs="仿宋"/>
          <w:color w:val="auto"/>
          <w:spacing w:val="-3"/>
          <w:kern w:val="0"/>
          <w:sz w:val="28"/>
          <w:szCs w:val="28"/>
          <w:lang w:val="en-US" w:eastAsia="zh-CN" w:bidi="zh-CN"/>
        </w:rPr>
        <w:t>大</w:t>
      </w:r>
      <w:r>
        <w:rPr>
          <w:rFonts w:hint="default" w:ascii="仿宋" w:hAnsi="仿宋" w:eastAsia="仿宋" w:cs="仿宋"/>
          <w:color w:val="auto"/>
          <w:spacing w:val="-3"/>
          <w:kern w:val="0"/>
          <w:sz w:val="28"/>
          <w:szCs w:val="28"/>
          <w:lang w:val="en-US" w:eastAsia="zh-CN" w:bidi="zh-CN"/>
        </w:rPr>
        <w:t>学生思考如何将体育精神应用到日常生活和学习中，以及如何在日常生活中践行社会主义核心价值观。教师为价值观的引导者和榜样：</w:t>
      </w:r>
      <w:r>
        <w:rPr>
          <w:rFonts w:hint="eastAsia" w:ascii="仿宋" w:hAnsi="仿宋" w:eastAsia="仿宋" w:cs="仿宋"/>
          <w:color w:val="auto"/>
          <w:spacing w:val="-3"/>
          <w:kern w:val="0"/>
          <w:sz w:val="28"/>
          <w:szCs w:val="28"/>
          <w:lang w:val="en-US" w:eastAsia="zh-CN" w:bidi="zh-CN"/>
        </w:rPr>
        <w:t>部们全体教工会议经常要求</w:t>
      </w:r>
      <w:r>
        <w:rPr>
          <w:rFonts w:hint="default" w:ascii="仿宋" w:hAnsi="仿宋" w:eastAsia="仿宋" w:cs="仿宋"/>
          <w:color w:val="auto"/>
          <w:spacing w:val="-3"/>
          <w:kern w:val="0"/>
          <w:sz w:val="28"/>
          <w:szCs w:val="28"/>
          <w:lang w:val="en-US" w:eastAsia="zh-CN" w:bidi="zh-CN"/>
        </w:rPr>
        <w:t>教师不仅要教授体育技能，还要成为价值观的引导者和榜样，通过自己的言行影响学生，传递正能量。</w:t>
      </w:r>
      <w:r>
        <w:rPr>
          <w:rFonts w:hint="eastAsia" w:ascii="仿宋" w:hAnsi="仿宋" w:eastAsia="仿宋" w:cs="仿宋"/>
          <w:color w:val="auto"/>
          <w:spacing w:val="-3"/>
          <w:kern w:val="0"/>
          <w:sz w:val="28"/>
          <w:szCs w:val="28"/>
          <w:lang w:val="en-US" w:eastAsia="zh-CN" w:bidi="zh-CN"/>
        </w:rPr>
        <w:t>对体育考试</w:t>
      </w:r>
      <w:r>
        <w:rPr>
          <w:rFonts w:hint="default" w:ascii="仿宋" w:hAnsi="仿宋" w:eastAsia="仿宋" w:cs="仿宋"/>
          <w:color w:val="auto"/>
          <w:spacing w:val="-3"/>
          <w:kern w:val="0"/>
          <w:sz w:val="28"/>
          <w:szCs w:val="28"/>
          <w:lang w:val="en-US" w:eastAsia="zh-CN" w:bidi="zh-CN"/>
        </w:rPr>
        <w:t>评价体系</w:t>
      </w:r>
      <w:r>
        <w:rPr>
          <w:rFonts w:hint="eastAsia" w:ascii="仿宋" w:hAnsi="仿宋" w:eastAsia="仿宋" w:cs="仿宋"/>
          <w:color w:val="auto"/>
          <w:spacing w:val="-3"/>
          <w:kern w:val="0"/>
          <w:sz w:val="28"/>
          <w:szCs w:val="28"/>
          <w:lang w:val="en-US" w:eastAsia="zh-CN" w:bidi="zh-CN"/>
        </w:rPr>
        <w:t>进行</w:t>
      </w:r>
      <w:r>
        <w:rPr>
          <w:rFonts w:hint="default" w:ascii="仿宋" w:hAnsi="仿宋" w:eastAsia="仿宋" w:cs="仿宋"/>
          <w:color w:val="auto"/>
          <w:spacing w:val="-3"/>
          <w:kern w:val="0"/>
          <w:sz w:val="28"/>
          <w:szCs w:val="28"/>
          <w:lang w:val="en-US" w:eastAsia="zh-CN" w:bidi="zh-CN"/>
        </w:rPr>
        <w:t>创新：建立包含体育技能和思政表现的综合评价体系，</w:t>
      </w:r>
      <w:r>
        <w:rPr>
          <w:rFonts w:hint="eastAsia" w:ascii="仿宋" w:hAnsi="仿宋" w:eastAsia="仿宋" w:cs="仿宋"/>
          <w:color w:val="auto"/>
          <w:spacing w:val="-3"/>
          <w:kern w:val="0"/>
          <w:sz w:val="28"/>
          <w:szCs w:val="28"/>
          <w:lang w:val="en-US" w:eastAsia="zh-CN" w:bidi="zh-CN"/>
        </w:rPr>
        <w:t>如期末考试方案</w:t>
      </w:r>
      <w:r>
        <w:rPr>
          <w:rFonts w:hint="default" w:ascii="仿宋" w:hAnsi="仿宋" w:eastAsia="仿宋" w:cs="仿宋"/>
          <w:color w:val="auto"/>
          <w:spacing w:val="-3"/>
          <w:kern w:val="0"/>
          <w:sz w:val="28"/>
          <w:szCs w:val="28"/>
          <w:lang w:val="en-US" w:eastAsia="zh-CN" w:bidi="zh-CN"/>
        </w:rPr>
        <w:t>不仅评估学生的运动能力，也评估他们在团队协作、公平竞争等方面的表现。通过这些策略，有效地将思想政治教育融入到体育教学中，使学生在锻炼身体的同时，也能够提升思想道德素质和社会责任感。</w:t>
      </w:r>
      <w:r>
        <w:rPr>
          <w:rFonts w:hint="eastAsia" w:ascii="仿宋" w:hAnsi="仿宋" w:eastAsia="仿宋" w:cs="仿宋"/>
          <w:color w:val="auto"/>
          <w:spacing w:val="-3"/>
          <w:kern w:val="0"/>
          <w:sz w:val="28"/>
          <w:szCs w:val="28"/>
          <w:lang w:val="en-US" w:eastAsia="zh-CN" w:bidi="zh-CN"/>
        </w:rPr>
        <w:t>如每年一度的篮球比赛，体育部要求各二级学院的参赛学生签订承诺书，遵守比赛规程，不做有违体育道德的犯规行为，否则不予参赛。当然评价体系还有待更一步改进。</w:t>
      </w:r>
    </w:p>
    <w:p w14:paraId="4EB77484">
      <w:pPr>
        <w:pageBreakBefore w:val="0"/>
        <w:widowControl w:val="0"/>
        <w:kinsoku/>
        <w:wordWrap/>
        <w:overflowPunct/>
        <w:topLinePunct w:val="0"/>
        <w:autoSpaceDE w:val="0"/>
        <w:autoSpaceDN w:val="0"/>
        <w:bidi w:val="0"/>
        <w:adjustRightInd/>
        <w:snapToGrid/>
        <w:spacing w:line="500" w:lineRule="exact"/>
        <w:ind w:firstLine="548" w:firstLineChars="200"/>
        <w:jc w:val="left"/>
        <w:textAlignment w:val="auto"/>
        <w:rPr>
          <w:rFonts w:hint="eastAsia" w:ascii="仿宋" w:hAnsi="仿宋" w:eastAsia="仿宋" w:cs="仿宋"/>
          <w:color w:val="auto"/>
          <w:spacing w:val="-3"/>
          <w:kern w:val="0"/>
          <w:sz w:val="28"/>
          <w:szCs w:val="28"/>
          <w:lang w:val="en-US" w:eastAsia="zh-CN" w:bidi="zh-CN"/>
        </w:rPr>
      </w:pPr>
      <w:r>
        <w:rPr>
          <w:rFonts w:hint="eastAsia" w:ascii="仿宋" w:hAnsi="仿宋" w:cs="仿宋"/>
          <w:color w:val="auto"/>
          <w:spacing w:val="-3"/>
          <w:kern w:val="0"/>
          <w:sz w:val="28"/>
          <w:szCs w:val="28"/>
          <w:lang w:val="en-US" w:eastAsia="zh-CN" w:bidi="zh-CN"/>
        </w:rPr>
        <w:t>第二.</w:t>
      </w:r>
      <w:r>
        <w:rPr>
          <w:rFonts w:hint="eastAsia" w:ascii="仿宋" w:hAnsi="仿宋" w:eastAsia="仿宋" w:cs="仿宋"/>
          <w:color w:val="auto"/>
          <w:spacing w:val="-3"/>
          <w:kern w:val="0"/>
          <w:sz w:val="28"/>
          <w:szCs w:val="28"/>
          <w:lang w:val="en-US" w:eastAsia="zh-CN" w:bidi="zh-CN"/>
        </w:rPr>
        <w:t>强化学生的团队协作与竞争精神。</w:t>
      </w:r>
    </w:p>
    <w:p w14:paraId="0CCBDD45">
      <w:pPr>
        <w:pageBreakBefore w:val="0"/>
        <w:widowControl w:val="0"/>
        <w:kinsoku/>
        <w:wordWrap/>
        <w:overflowPunct/>
        <w:topLinePunct w:val="0"/>
        <w:autoSpaceDE w:val="0"/>
        <w:autoSpaceDN w:val="0"/>
        <w:bidi w:val="0"/>
        <w:adjustRightInd/>
        <w:snapToGrid/>
        <w:spacing w:line="500" w:lineRule="exact"/>
        <w:ind w:firstLine="548" w:firstLineChars="200"/>
        <w:jc w:val="left"/>
        <w:textAlignment w:val="auto"/>
        <w:rPr>
          <w:rFonts w:hint="eastAsia" w:ascii="仿宋" w:hAnsi="仿宋" w:eastAsia="仿宋" w:cs="仿宋"/>
          <w:color w:val="auto"/>
          <w:spacing w:val="-3"/>
          <w:kern w:val="0"/>
          <w:sz w:val="28"/>
          <w:szCs w:val="28"/>
          <w:lang w:val="en-US" w:eastAsia="zh-CN" w:bidi="zh-CN"/>
        </w:rPr>
      </w:pPr>
      <w:r>
        <w:rPr>
          <w:rFonts w:hint="eastAsia" w:ascii="仿宋" w:hAnsi="仿宋" w:eastAsia="仿宋" w:cs="仿宋"/>
          <w:color w:val="auto"/>
          <w:spacing w:val="-3"/>
          <w:kern w:val="0"/>
          <w:sz w:val="28"/>
          <w:szCs w:val="28"/>
          <w:lang w:val="en-US" w:eastAsia="zh-CN" w:bidi="zh-CN"/>
        </w:rPr>
        <w:t>我校大学体育教学特别注重学生团队项目的训练，</w:t>
      </w:r>
      <w:r>
        <w:rPr>
          <w:rFonts w:hint="default" w:ascii="仿宋" w:hAnsi="仿宋" w:eastAsia="仿宋" w:cs="仿宋"/>
          <w:color w:val="auto"/>
          <w:spacing w:val="-3"/>
          <w:kern w:val="0"/>
          <w:sz w:val="28"/>
          <w:szCs w:val="28"/>
          <w:lang w:val="en-US" w:eastAsia="zh-CN" w:bidi="zh-CN"/>
        </w:rPr>
        <w:t>将团队运动如篮球、足球、排球等作为必修或选修课程的一部分。设计课程内容时，确保有足够的时间用于团队训练和比赛。引入多样化的团队运动，以满足不同学生的兴趣和需求。采用小组合作学习的方法，鼓励学生之间的互动和协作。通过实际比赛来模拟真实场景，让学生在实战中学习和提高。强调团队精神和集体荣誉感的培养，而不仅仅是个人技能的提升。对体育教师进行专业培训，使他们能够有效地指导团队训练。邀请专业的团队运动教练进行讲座，分享经验和技巧。组织校内外的体育比赛和友谊赛，增加学生的实践经验。鼓励学生参加校外的体育俱乐部或社团，拓宽视野。</w:t>
      </w:r>
      <w:r>
        <w:rPr>
          <w:rFonts w:hint="eastAsia" w:ascii="仿宋" w:hAnsi="仿宋" w:eastAsia="仿宋" w:cs="仿宋"/>
          <w:color w:val="auto"/>
          <w:spacing w:val="-3"/>
          <w:kern w:val="0"/>
          <w:sz w:val="28"/>
          <w:szCs w:val="28"/>
          <w:lang w:val="en-US" w:eastAsia="zh-CN" w:bidi="zh-CN"/>
        </w:rPr>
        <w:t>组织参加的各项体育竞赛中，老师们积极引导学生树立正确的胜负观，培养他们的竞争意识和抗挫能力。</w:t>
      </w:r>
    </w:p>
    <w:p w14:paraId="307C1140">
      <w:pPr>
        <w:pageBreakBefore w:val="0"/>
        <w:widowControl w:val="0"/>
        <w:kinsoku/>
        <w:wordWrap/>
        <w:overflowPunct/>
        <w:topLinePunct w:val="0"/>
        <w:autoSpaceDE w:val="0"/>
        <w:autoSpaceDN w:val="0"/>
        <w:bidi w:val="0"/>
        <w:adjustRightInd/>
        <w:snapToGrid/>
        <w:spacing w:line="500" w:lineRule="exact"/>
        <w:ind w:firstLine="548" w:firstLineChars="200"/>
        <w:jc w:val="left"/>
        <w:textAlignment w:val="auto"/>
        <w:rPr>
          <w:rFonts w:hint="eastAsia" w:ascii="仿宋" w:hAnsi="仿宋" w:eastAsia="仿宋" w:cs="仿宋"/>
          <w:color w:val="auto"/>
          <w:spacing w:val="-3"/>
          <w:kern w:val="0"/>
          <w:sz w:val="28"/>
          <w:szCs w:val="28"/>
          <w:lang w:val="en-US" w:eastAsia="zh-CN" w:bidi="zh-CN"/>
        </w:rPr>
      </w:pPr>
      <w:r>
        <w:rPr>
          <w:rFonts w:hint="eastAsia" w:ascii="仿宋" w:hAnsi="仿宋" w:cs="仿宋"/>
          <w:color w:val="auto"/>
          <w:spacing w:val="-3"/>
          <w:kern w:val="0"/>
          <w:sz w:val="28"/>
          <w:szCs w:val="28"/>
          <w:lang w:val="en-US" w:eastAsia="zh-CN" w:bidi="zh-CN"/>
        </w:rPr>
        <w:t>第三.</w:t>
      </w:r>
      <w:r>
        <w:rPr>
          <w:rFonts w:hint="eastAsia" w:ascii="仿宋" w:hAnsi="仿宋" w:eastAsia="仿宋" w:cs="仿宋"/>
          <w:color w:val="auto"/>
          <w:spacing w:val="-3"/>
          <w:kern w:val="0"/>
          <w:sz w:val="28"/>
          <w:szCs w:val="28"/>
          <w:lang w:val="en-US" w:eastAsia="zh-CN" w:bidi="zh-CN"/>
        </w:rPr>
        <w:t>促进学生身心健康发展。</w:t>
      </w:r>
    </w:p>
    <w:p w14:paraId="72B09217">
      <w:pPr>
        <w:pageBreakBefore w:val="0"/>
        <w:widowControl w:val="0"/>
        <w:kinsoku/>
        <w:wordWrap/>
        <w:overflowPunct/>
        <w:topLinePunct w:val="0"/>
        <w:autoSpaceDE w:val="0"/>
        <w:autoSpaceDN w:val="0"/>
        <w:bidi w:val="0"/>
        <w:adjustRightInd/>
        <w:snapToGrid/>
        <w:spacing w:line="500" w:lineRule="exact"/>
        <w:ind w:firstLine="548" w:firstLineChars="200"/>
        <w:jc w:val="left"/>
        <w:textAlignment w:val="auto"/>
        <w:rPr>
          <w:rFonts w:hint="default" w:ascii="仿宋" w:hAnsi="仿宋" w:eastAsia="仿宋" w:cs="仿宋"/>
          <w:color w:val="auto"/>
          <w:spacing w:val="-3"/>
          <w:kern w:val="0"/>
          <w:sz w:val="28"/>
          <w:szCs w:val="28"/>
          <w:lang w:val="en-US" w:eastAsia="zh-CN" w:bidi="zh-CN"/>
        </w:rPr>
      </w:pPr>
      <w:r>
        <w:rPr>
          <w:rFonts w:hint="eastAsia" w:ascii="仿宋" w:hAnsi="仿宋" w:eastAsia="仿宋" w:cs="仿宋"/>
          <w:color w:val="auto"/>
          <w:spacing w:val="-3"/>
          <w:kern w:val="0"/>
          <w:sz w:val="28"/>
          <w:szCs w:val="28"/>
          <w:lang w:val="en-US" w:eastAsia="zh-CN" w:bidi="zh-CN"/>
        </w:rPr>
        <w:t>我校大学体育教学不仅关注学生的身体锻炼，还注重心理健康教育，通过体育活动缓解学生的学习压力，提高他们的心理素质。如</w:t>
      </w:r>
      <w:r>
        <w:rPr>
          <w:rFonts w:hint="default" w:ascii="仿宋" w:hAnsi="仿宋" w:eastAsia="仿宋" w:cs="仿宋"/>
          <w:color w:val="auto"/>
          <w:spacing w:val="-3"/>
          <w:kern w:val="0"/>
          <w:sz w:val="28"/>
          <w:szCs w:val="28"/>
          <w:lang w:val="en-US" w:eastAsia="zh-CN" w:bidi="zh-CN"/>
        </w:rPr>
        <w:t>培养</w:t>
      </w:r>
      <w:r>
        <w:rPr>
          <w:rFonts w:hint="eastAsia" w:ascii="仿宋" w:hAnsi="仿宋" w:eastAsia="仿宋" w:cs="仿宋"/>
          <w:color w:val="auto"/>
          <w:spacing w:val="-3"/>
          <w:kern w:val="0"/>
          <w:sz w:val="28"/>
          <w:szCs w:val="28"/>
          <w:lang w:val="en-US" w:eastAsia="zh-CN" w:bidi="zh-CN"/>
        </w:rPr>
        <w:t>学生</w:t>
      </w:r>
      <w:r>
        <w:rPr>
          <w:rFonts w:hint="default" w:ascii="仿宋" w:hAnsi="仿宋" w:eastAsia="仿宋" w:cs="仿宋"/>
          <w:color w:val="auto"/>
          <w:spacing w:val="-3"/>
          <w:kern w:val="0"/>
          <w:sz w:val="28"/>
          <w:szCs w:val="28"/>
          <w:lang w:val="en-US" w:eastAsia="zh-CN" w:bidi="zh-CN"/>
        </w:rPr>
        <w:t>健康</w:t>
      </w:r>
      <w:r>
        <w:rPr>
          <w:rFonts w:hint="eastAsia" w:ascii="仿宋" w:hAnsi="仿宋" w:eastAsia="仿宋" w:cs="仿宋"/>
          <w:color w:val="auto"/>
          <w:spacing w:val="-3"/>
          <w:kern w:val="0"/>
          <w:sz w:val="28"/>
          <w:szCs w:val="28"/>
          <w:lang w:val="en-US" w:eastAsia="zh-CN" w:bidi="zh-CN"/>
        </w:rPr>
        <w:t>生活</w:t>
      </w:r>
      <w:r>
        <w:rPr>
          <w:rFonts w:hint="default" w:ascii="仿宋" w:hAnsi="仿宋" w:eastAsia="仿宋" w:cs="仿宋"/>
          <w:color w:val="auto"/>
          <w:spacing w:val="-3"/>
          <w:kern w:val="0"/>
          <w:sz w:val="28"/>
          <w:szCs w:val="28"/>
          <w:lang w:val="en-US" w:eastAsia="zh-CN" w:bidi="zh-CN"/>
        </w:rPr>
        <w:t>习惯</w:t>
      </w:r>
      <w:r>
        <w:rPr>
          <w:rFonts w:hint="eastAsia" w:ascii="仿宋" w:hAnsi="仿宋" w:eastAsia="仿宋" w:cs="仿宋"/>
          <w:color w:val="auto"/>
          <w:spacing w:val="-3"/>
          <w:kern w:val="0"/>
          <w:sz w:val="28"/>
          <w:szCs w:val="28"/>
          <w:lang w:val="en-US" w:eastAsia="zh-CN" w:bidi="zh-CN"/>
        </w:rPr>
        <w:t>，</w:t>
      </w:r>
      <w:r>
        <w:rPr>
          <w:rFonts w:hint="default" w:ascii="仿宋" w:hAnsi="仿宋" w:eastAsia="仿宋" w:cs="仿宋"/>
          <w:color w:val="auto"/>
          <w:spacing w:val="-3"/>
          <w:kern w:val="0"/>
          <w:sz w:val="28"/>
          <w:szCs w:val="28"/>
          <w:lang w:val="en-US" w:eastAsia="zh-CN" w:bidi="zh-CN"/>
        </w:rPr>
        <w:t>教育学生关于营养、休息和恢复的重要性，帮助他们建立健康的生活习惯。鼓励学生参与课外体育活动，使运动成为他们日常生活的一部分。</w:t>
      </w:r>
      <w:r>
        <w:rPr>
          <w:rFonts w:hint="eastAsia" w:ascii="仿宋" w:hAnsi="仿宋" w:eastAsia="仿宋" w:cs="仿宋"/>
          <w:color w:val="auto"/>
          <w:spacing w:val="-3"/>
          <w:kern w:val="0"/>
          <w:sz w:val="28"/>
          <w:szCs w:val="28"/>
          <w:lang w:val="en-US" w:eastAsia="zh-CN" w:bidi="zh-CN"/>
        </w:rPr>
        <w:t>加强</w:t>
      </w:r>
      <w:r>
        <w:rPr>
          <w:rFonts w:hint="default" w:ascii="仿宋" w:hAnsi="仿宋" w:eastAsia="仿宋" w:cs="仿宋"/>
          <w:color w:val="auto"/>
          <w:spacing w:val="-3"/>
          <w:kern w:val="0"/>
          <w:sz w:val="28"/>
          <w:szCs w:val="28"/>
          <w:lang w:val="en-US" w:eastAsia="zh-CN" w:bidi="zh-CN"/>
        </w:rPr>
        <w:t>心理健康教育</w:t>
      </w:r>
      <w:r>
        <w:rPr>
          <w:rFonts w:hint="eastAsia" w:ascii="仿宋" w:hAnsi="仿宋" w:eastAsia="仿宋" w:cs="仿宋"/>
          <w:color w:val="auto"/>
          <w:spacing w:val="-3"/>
          <w:kern w:val="0"/>
          <w:sz w:val="28"/>
          <w:szCs w:val="28"/>
          <w:lang w:val="en-US" w:eastAsia="zh-CN" w:bidi="zh-CN"/>
        </w:rPr>
        <w:t>，</w:t>
      </w:r>
      <w:r>
        <w:rPr>
          <w:rFonts w:hint="default" w:ascii="仿宋" w:hAnsi="仿宋" w:eastAsia="仿宋" w:cs="仿宋"/>
          <w:color w:val="auto"/>
          <w:spacing w:val="-3"/>
          <w:kern w:val="0"/>
          <w:sz w:val="28"/>
          <w:szCs w:val="28"/>
          <w:lang w:val="en-US" w:eastAsia="zh-CN" w:bidi="zh-CN"/>
        </w:rPr>
        <w:t>通过体育活动教授学生如何应对压力和挑战，提高他们的心理韧性。提供心理咨询服务，帮助学生处理与体育相关的焦虑和压力。通过体育比赛和挑战，帮助学生了解自己的极限，增强自信心和自尊心。教授学生如何设定目标并努力实现，培养他们的自我管理能力。通过这些方法，大学体育不仅能够提高学生的身体素质，还能够促进他们的心理健康和社会适应能力，为学生的全面发展打下坚实的基础。</w:t>
      </w:r>
    </w:p>
    <w:p w14:paraId="0C38D3BA">
      <w:pPr>
        <w:pageBreakBefore w:val="0"/>
        <w:widowControl w:val="0"/>
        <w:kinsoku/>
        <w:wordWrap/>
        <w:overflowPunct/>
        <w:topLinePunct w:val="0"/>
        <w:autoSpaceDE w:val="0"/>
        <w:autoSpaceDN w:val="0"/>
        <w:bidi w:val="0"/>
        <w:adjustRightInd/>
        <w:snapToGrid/>
        <w:spacing w:line="500" w:lineRule="exact"/>
        <w:ind w:firstLine="548" w:firstLineChars="200"/>
        <w:jc w:val="left"/>
        <w:textAlignment w:val="auto"/>
        <w:rPr>
          <w:rFonts w:hint="eastAsia" w:ascii="仿宋" w:hAnsi="仿宋" w:eastAsia="仿宋" w:cs="仿宋"/>
          <w:color w:val="auto"/>
          <w:spacing w:val="-3"/>
          <w:kern w:val="0"/>
          <w:sz w:val="28"/>
          <w:szCs w:val="28"/>
          <w:lang w:val="en-US" w:eastAsia="zh-CN" w:bidi="zh-CN"/>
        </w:rPr>
      </w:pPr>
      <w:r>
        <w:rPr>
          <w:rFonts w:hint="eastAsia" w:cs="Times New Roman"/>
          <w:color w:val="auto"/>
          <w:spacing w:val="-3"/>
          <w:sz w:val="28"/>
          <w:szCs w:val="28"/>
          <w:lang w:val="en-US" w:eastAsia="zh-CN"/>
        </w:rPr>
        <w:t>第四.经常性</w:t>
      </w:r>
      <w:r>
        <w:rPr>
          <w:rFonts w:hint="eastAsia" w:ascii="仿宋" w:hAnsi="仿宋" w:eastAsia="仿宋" w:cs="仿宋"/>
          <w:color w:val="auto"/>
          <w:spacing w:val="-3"/>
          <w:kern w:val="0"/>
          <w:sz w:val="28"/>
          <w:szCs w:val="28"/>
          <w:lang w:val="en-US" w:eastAsia="zh-CN" w:bidi="zh-CN"/>
        </w:rPr>
        <w:t>组织学生阳光体育节，广泛开展阳光体育运动。</w:t>
      </w:r>
    </w:p>
    <w:p w14:paraId="5603ECF5">
      <w:pPr>
        <w:pageBreakBefore w:val="0"/>
        <w:widowControl w:val="0"/>
        <w:kinsoku/>
        <w:wordWrap/>
        <w:overflowPunct/>
        <w:topLinePunct w:val="0"/>
        <w:autoSpaceDE w:val="0"/>
        <w:autoSpaceDN w:val="0"/>
        <w:bidi w:val="0"/>
        <w:adjustRightInd/>
        <w:snapToGrid/>
        <w:spacing w:line="500" w:lineRule="exact"/>
        <w:ind w:firstLine="548" w:firstLineChars="200"/>
        <w:jc w:val="left"/>
        <w:textAlignment w:val="auto"/>
        <w:rPr>
          <w:rFonts w:hint="eastAsia" w:ascii="仿宋" w:hAnsi="仿宋" w:eastAsia="仿宋" w:cs="仿宋"/>
          <w:color w:val="auto"/>
          <w:spacing w:val="-3"/>
          <w:kern w:val="0"/>
          <w:sz w:val="28"/>
          <w:szCs w:val="28"/>
          <w:lang w:val="en-US" w:eastAsia="zh-CN" w:bidi="zh-CN"/>
        </w:rPr>
      </w:pPr>
      <w:r>
        <w:rPr>
          <w:rFonts w:hint="eastAsia" w:ascii="仿宋" w:hAnsi="仿宋" w:eastAsia="仿宋" w:cs="仿宋"/>
          <w:color w:val="auto"/>
          <w:spacing w:val="-3"/>
          <w:kern w:val="0"/>
          <w:sz w:val="28"/>
          <w:szCs w:val="28"/>
          <w:lang w:val="en-US" w:eastAsia="zh-CN" w:bidi="zh-CN"/>
        </w:rPr>
        <w:t>我校坚持以“以人为本，健康第一”为指导思想，积极响应“全国亿万学生阳光体育活动”的号召，把口号“每天锻炼一小时，健康学习工作五十年，幸福生活一辈子”深入到学生中去，贯彻到实际行动中。为突出我校特色，开展了形式多样的阳光体育活动，把阳光体育活动渗透到校园文化生活之中，使广大学生在体育活动中得到健康，得到快乐，形成了以班级、学院、学校三级管理的阳光体育活动模式，切实提高了学生的健康素质，培养了学生的终身体育意识。2022年下期与2024年上学期成功组织了阳光体育节篮球、羽毛球、乒乓球等系列竞赛活动。</w:t>
      </w:r>
    </w:p>
    <w:p w14:paraId="462D1FCD">
      <w:pPr>
        <w:pageBreakBefore w:val="0"/>
        <w:widowControl w:val="0"/>
        <w:kinsoku/>
        <w:wordWrap/>
        <w:overflowPunct/>
        <w:topLinePunct w:val="0"/>
        <w:autoSpaceDE w:val="0"/>
        <w:autoSpaceDN w:val="0"/>
        <w:bidi w:val="0"/>
        <w:adjustRightInd/>
        <w:snapToGrid/>
        <w:spacing w:line="500" w:lineRule="exact"/>
        <w:ind w:firstLine="548" w:firstLineChars="200"/>
        <w:jc w:val="left"/>
        <w:textAlignment w:val="auto"/>
        <w:rPr>
          <w:rFonts w:hint="eastAsia" w:ascii="仿宋" w:hAnsi="仿宋" w:eastAsia="仿宋" w:cs="仿宋"/>
          <w:color w:val="auto"/>
          <w:spacing w:val="-3"/>
          <w:kern w:val="0"/>
          <w:sz w:val="28"/>
          <w:szCs w:val="28"/>
          <w:lang w:val="en-US" w:eastAsia="zh-CN" w:bidi="zh-CN"/>
        </w:rPr>
      </w:pPr>
      <w:r>
        <w:rPr>
          <w:rFonts w:hint="eastAsia" w:ascii="仿宋" w:hAnsi="仿宋" w:eastAsia="仿宋" w:cs="仿宋"/>
          <w:color w:val="auto"/>
          <w:spacing w:val="-3"/>
          <w:kern w:val="0"/>
          <w:sz w:val="28"/>
          <w:szCs w:val="28"/>
          <w:lang w:val="en-US" w:eastAsia="zh-CN" w:bidi="zh-CN"/>
        </w:rPr>
        <w:t>通过上述举措的实施，我校体育教学与训练在加强学生理想信念和提高品德修养方面取得了显著成效。学生普遍表现出更加积极向上的精神风貌，团队协作能力和竞争意识得到明显提升。同时，学生的身体素质和心理健康水平也得到了有效改善。然而，仍需注意的是，个别学生在理想信念、道德品质和行为习惯方面仍存在一些问题，需要进一步加强教育和引导。</w:t>
      </w:r>
    </w:p>
    <w:p w14:paraId="6E943E99">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129" w:name="_Toc10963"/>
      <w:bookmarkStart w:id="130" w:name="_Toc16617"/>
      <w:r>
        <w:rPr>
          <w:rFonts w:hint="eastAsia" w:ascii="仿宋" w:hAnsi="仿宋" w:eastAsia="仿宋" w:cs="仿宋"/>
          <w:b/>
          <w:bCs/>
          <w:color w:val="auto"/>
          <w:sz w:val="28"/>
          <w:szCs w:val="28"/>
          <w:lang w:val="en-US" w:eastAsia="zh-CN"/>
        </w:rPr>
        <w:t>5.1.2营造良好体育锻炼氛围，促进学风良性循环</w:t>
      </w:r>
      <w:bookmarkEnd w:id="129"/>
      <w:bookmarkEnd w:id="130"/>
    </w:p>
    <w:p w14:paraId="4ECC2639">
      <w:pPr>
        <w:pageBreakBefore w:val="0"/>
        <w:widowControl w:val="0"/>
        <w:kinsoku/>
        <w:wordWrap/>
        <w:overflowPunct/>
        <w:topLinePunct w:val="0"/>
        <w:autoSpaceDE w:val="0"/>
        <w:autoSpaceDN w:val="0"/>
        <w:bidi w:val="0"/>
        <w:adjustRightInd/>
        <w:snapToGrid/>
        <w:spacing w:line="500" w:lineRule="exact"/>
        <w:ind w:firstLine="548" w:firstLineChars="200"/>
        <w:jc w:val="left"/>
        <w:textAlignment w:val="auto"/>
        <w:rPr>
          <w:rFonts w:hint="default" w:ascii="Times New Roman" w:hAnsi="Times New Roman" w:eastAsia="仿宋" w:cs="Times New Roman"/>
          <w:color w:val="auto"/>
          <w:spacing w:val="-3"/>
          <w:sz w:val="28"/>
          <w:szCs w:val="28"/>
          <w:lang w:val="en-US" w:eastAsia="zh-CN"/>
        </w:rPr>
      </w:pPr>
      <w:r>
        <w:rPr>
          <w:rFonts w:hint="eastAsia" w:cs="Times New Roman"/>
          <w:color w:val="auto"/>
          <w:spacing w:val="-3"/>
          <w:sz w:val="28"/>
          <w:szCs w:val="28"/>
          <w:lang w:val="en-US" w:eastAsia="zh-CN"/>
        </w:rPr>
        <w:t>第一.</w:t>
      </w:r>
      <w:r>
        <w:rPr>
          <w:rFonts w:hint="eastAsia" w:ascii="Times New Roman" w:hAnsi="Times New Roman" w:eastAsia="仿宋" w:cs="Times New Roman"/>
          <w:color w:val="auto"/>
          <w:spacing w:val="-3"/>
          <w:sz w:val="28"/>
          <w:szCs w:val="28"/>
          <w:lang w:val="en-US" w:eastAsia="zh-CN"/>
        </w:rPr>
        <w:t>强化体育教学与训练的过程管理，助力锻炼良好氛围</w:t>
      </w:r>
    </w:p>
    <w:p w14:paraId="40019733">
      <w:pPr>
        <w:pageBreakBefore w:val="0"/>
        <w:widowControl w:val="0"/>
        <w:kinsoku/>
        <w:wordWrap/>
        <w:overflowPunct/>
        <w:topLinePunct w:val="0"/>
        <w:autoSpaceDE w:val="0"/>
        <w:autoSpaceDN w:val="0"/>
        <w:bidi w:val="0"/>
        <w:adjustRightInd/>
        <w:snapToGrid/>
        <w:spacing w:line="500" w:lineRule="exact"/>
        <w:ind w:firstLine="548" w:firstLineChars="200"/>
        <w:jc w:val="left"/>
        <w:textAlignment w:val="auto"/>
        <w:rPr>
          <w:rFonts w:hint="eastAsia" w:ascii="Times New Roman" w:hAnsi="Times New Roman" w:eastAsia="仿宋" w:cs="Times New Roman"/>
          <w:color w:val="auto"/>
          <w:spacing w:val="-3"/>
          <w:sz w:val="28"/>
          <w:szCs w:val="28"/>
          <w:lang w:val="en-US" w:eastAsia="zh-CN"/>
        </w:rPr>
      </w:pPr>
      <w:r>
        <w:rPr>
          <w:rFonts w:hint="eastAsia" w:ascii="Times New Roman" w:hAnsi="Times New Roman" w:eastAsia="仿宋" w:cs="Times New Roman"/>
          <w:color w:val="auto"/>
          <w:spacing w:val="-3"/>
          <w:sz w:val="28"/>
          <w:szCs w:val="28"/>
          <w:lang w:val="en-US" w:eastAsia="zh-CN"/>
        </w:rPr>
        <w:t>体育部不断强化教书育人、管理育人、服务育人的工作理念，通过《党员“三联系”制度》等一系列制度作为基础确保学风建设工作得以长效开展；通过每周部务会汇报学风建设情况和学风工作要点，每学期定期召开学风建设专题联席会议，引导教与学相互反馈，联动解决学习中存在的各种问题。学院加强课堂纪律、早晚训练等文明督察工作，全体行政人员深入形体房、运动场等场所听课、查课。每学期召开教师座谈会、学生座谈会，收集教学信息反馈情况，对学风方面存在的问题第一时间进行核查、处理。落实学生体育部干部选拔、学生党员发展、评奖评优评先等与学风和学习成绩挂钩的政策导向，使各项制度成为学风建设有力的指挥棒。</w:t>
      </w:r>
    </w:p>
    <w:p w14:paraId="0E0FFC84">
      <w:pPr>
        <w:pageBreakBefore w:val="0"/>
        <w:widowControl w:val="0"/>
        <w:kinsoku/>
        <w:wordWrap/>
        <w:overflowPunct/>
        <w:topLinePunct w:val="0"/>
        <w:autoSpaceDE w:val="0"/>
        <w:autoSpaceDN w:val="0"/>
        <w:bidi w:val="0"/>
        <w:adjustRightInd/>
        <w:snapToGrid/>
        <w:spacing w:line="500" w:lineRule="exact"/>
        <w:ind w:firstLine="548" w:firstLineChars="200"/>
        <w:jc w:val="left"/>
        <w:textAlignment w:val="auto"/>
        <w:rPr>
          <w:rFonts w:hint="eastAsia" w:ascii="Times New Roman" w:hAnsi="Times New Roman" w:eastAsia="仿宋" w:cs="Times New Roman"/>
          <w:color w:val="auto"/>
          <w:spacing w:val="-3"/>
          <w:sz w:val="28"/>
          <w:szCs w:val="28"/>
          <w:lang w:val="en-US" w:eastAsia="zh-CN"/>
        </w:rPr>
      </w:pPr>
      <w:r>
        <w:rPr>
          <w:rFonts w:hint="eastAsia" w:cs="Times New Roman"/>
          <w:color w:val="auto"/>
          <w:spacing w:val="-3"/>
          <w:sz w:val="28"/>
          <w:szCs w:val="28"/>
          <w:lang w:val="en-US" w:eastAsia="zh-CN"/>
        </w:rPr>
        <w:t>第二.</w:t>
      </w:r>
      <w:r>
        <w:rPr>
          <w:rFonts w:hint="eastAsia" w:ascii="Times New Roman" w:hAnsi="Times New Roman" w:eastAsia="仿宋" w:cs="Times New Roman"/>
          <w:color w:val="auto"/>
          <w:spacing w:val="-3"/>
          <w:sz w:val="28"/>
          <w:szCs w:val="28"/>
          <w:lang w:val="en-US" w:eastAsia="zh-CN"/>
        </w:rPr>
        <w:t>丰富学生课外体育活动，助力文化学习</w:t>
      </w:r>
    </w:p>
    <w:p w14:paraId="491D8FF8">
      <w:pPr>
        <w:pageBreakBefore w:val="0"/>
        <w:widowControl w:val="0"/>
        <w:kinsoku/>
        <w:wordWrap/>
        <w:overflowPunct/>
        <w:topLinePunct w:val="0"/>
        <w:autoSpaceDE w:val="0"/>
        <w:autoSpaceDN w:val="0"/>
        <w:bidi w:val="0"/>
        <w:adjustRightInd/>
        <w:snapToGrid/>
        <w:spacing w:line="500" w:lineRule="exact"/>
        <w:ind w:firstLine="548" w:firstLineChars="200"/>
        <w:jc w:val="left"/>
        <w:textAlignment w:val="auto"/>
        <w:rPr>
          <w:rFonts w:hint="default" w:ascii="Times New Roman" w:hAnsi="Times New Roman" w:eastAsia="仿宋" w:cs="Times New Roman"/>
          <w:color w:val="auto"/>
          <w:spacing w:val="-3"/>
          <w:sz w:val="28"/>
          <w:szCs w:val="28"/>
          <w:lang w:val="en-US" w:eastAsia="zh-CN"/>
        </w:rPr>
      </w:pPr>
      <w:r>
        <w:rPr>
          <w:rFonts w:hint="eastAsia" w:ascii="Times New Roman" w:hAnsi="Times New Roman" w:eastAsia="仿宋" w:cs="Times New Roman"/>
          <w:color w:val="auto"/>
          <w:spacing w:val="-3"/>
          <w:sz w:val="28"/>
          <w:szCs w:val="28"/>
          <w:lang w:val="en-US" w:eastAsia="zh-CN"/>
        </w:rPr>
        <w:t>以练践学</w:t>
      </w:r>
      <w:r>
        <w:rPr>
          <w:rFonts w:hint="default" w:ascii="Times New Roman" w:hAnsi="Times New Roman" w:eastAsia="仿宋" w:cs="Times New Roman"/>
          <w:color w:val="auto"/>
          <w:spacing w:val="-3"/>
          <w:sz w:val="28"/>
          <w:szCs w:val="28"/>
          <w:lang w:val="en-US" w:eastAsia="zh-CN"/>
        </w:rPr>
        <w:t>：鼓励学生自发进行技能训练，培养自觉学习和主动学习的习惯，从而带动学风建设常规化。以证督学：引导学生参加各类教练资格证和裁判证培训，通过考取相关职业资格证书，督导学风建设社会化，适应社会需求。</w:t>
      </w:r>
      <w:r>
        <w:rPr>
          <w:rFonts w:hint="eastAsia" w:ascii="Times New Roman" w:hAnsi="Times New Roman" w:eastAsia="仿宋" w:cs="Times New Roman"/>
          <w:color w:val="auto"/>
          <w:spacing w:val="-3"/>
          <w:sz w:val="28"/>
          <w:szCs w:val="28"/>
          <w:lang w:val="en-US" w:eastAsia="zh-CN"/>
        </w:rPr>
        <w:t>近3年参加各类体育培训取得社会体育指导员、健身教练员多项资质证书60余人次。</w:t>
      </w:r>
      <w:r>
        <w:rPr>
          <w:rFonts w:hint="default" w:ascii="Times New Roman" w:hAnsi="Times New Roman" w:eastAsia="仿宋" w:cs="Times New Roman"/>
          <w:color w:val="auto"/>
          <w:spacing w:val="-3"/>
          <w:sz w:val="28"/>
          <w:szCs w:val="28"/>
          <w:lang w:val="en-US" w:eastAsia="zh-CN"/>
        </w:rPr>
        <w:t>以赛促学：组织学生参加各类体育比赛，如</w:t>
      </w:r>
      <w:r>
        <w:rPr>
          <w:rFonts w:hint="eastAsia" w:ascii="Times New Roman" w:hAnsi="Times New Roman" w:eastAsia="仿宋" w:cs="Times New Roman"/>
          <w:color w:val="auto"/>
          <w:spacing w:val="-3"/>
          <w:sz w:val="28"/>
          <w:szCs w:val="28"/>
          <w:lang w:val="en-US" w:eastAsia="zh-CN"/>
        </w:rPr>
        <w:t>啦啦操</w:t>
      </w:r>
      <w:r>
        <w:rPr>
          <w:rFonts w:hint="default" w:ascii="Times New Roman" w:hAnsi="Times New Roman" w:eastAsia="仿宋" w:cs="Times New Roman"/>
          <w:color w:val="auto"/>
          <w:spacing w:val="-3"/>
          <w:sz w:val="28"/>
          <w:szCs w:val="28"/>
          <w:lang w:val="en-US" w:eastAsia="zh-CN"/>
        </w:rPr>
        <w:t>、</w:t>
      </w:r>
      <w:r>
        <w:rPr>
          <w:rFonts w:hint="eastAsia" w:ascii="Times New Roman" w:hAnsi="Times New Roman" w:eastAsia="仿宋" w:cs="Times New Roman"/>
          <w:color w:val="auto"/>
          <w:spacing w:val="-3"/>
          <w:sz w:val="28"/>
          <w:szCs w:val="28"/>
          <w:lang w:val="en-US" w:eastAsia="zh-CN"/>
        </w:rPr>
        <w:t>体育舞蹈、田径、游泳、</w:t>
      </w:r>
      <w:r>
        <w:rPr>
          <w:rFonts w:hint="default" w:ascii="Times New Roman" w:hAnsi="Times New Roman" w:eastAsia="仿宋" w:cs="Times New Roman"/>
          <w:color w:val="auto"/>
          <w:spacing w:val="-3"/>
          <w:sz w:val="28"/>
          <w:szCs w:val="28"/>
          <w:lang w:val="en-US" w:eastAsia="zh-CN"/>
        </w:rPr>
        <w:t>排球和足球比赛等，通过比赛促进学风建设特色化。教风建设：加强师德教育，提升教师以德立身、以德立学、以德施教意识，把课堂当成神圣的沃土，致力于创新授课方法。严格课堂管理：制定</w:t>
      </w:r>
      <w:r>
        <w:rPr>
          <w:rFonts w:hint="eastAsia" w:ascii="Times New Roman" w:hAnsi="Times New Roman" w:eastAsia="仿宋" w:cs="Times New Roman"/>
          <w:color w:val="auto"/>
          <w:spacing w:val="-3"/>
          <w:sz w:val="28"/>
          <w:szCs w:val="28"/>
          <w:lang w:val="en-US" w:eastAsia="zh-CN"/>
        </w:rPr>
        <w:t>体育</w:t>
      </w:r>
      <w:r>
        <w:rPr>
          <w:rFonts w:hint="default" w:ascii="Times New Roman" w:hAnsi="Times New Roman" w:eastAsia="仿宋" w:cs="Times New Roman"/>
          <w:color w:val="auto"/>
          <w:spacing w:val="-3"/>
          <w:sz w:val="28"/>
          <w:szCs w:val="28"/>
          <w:lang w:val="en-US" w:eastAsia="zh-CN"/>
        </w:rPr>
        <w:t>课堂管理规定，细化学生管理办法，严肃课堂纪律，维护课堂秩序。丰富</w:t>
      </w:r>
      <w:r>
        <w:rPr>
          <w:rFonts w:hint="eastAsia" w:ascii="Times New Roman" w:hAnsi="Times New Roman" w:eastAsia="仿宋" w:cs="Times New Roman"/>
          <w:color w:val="auto"/>
          <w:spacing w:val="-3"/>
          <w:sz w:val="28"/>
          <w:szCs w:val="28"/>
          <w:lang w:val="en-US" w:eastAsia="zh-CN"/>
        </w:rPr>
        <w:t>体育</w:t>
      </w:r>
      <w:r>
        <w:rPr>
          <w:rFonts w:hint="default" w:ascii="Times New Roman" w:hAnsi="Times New Roman" w:eastAsia="仿宋" w:cs="Times New Roman"/>
          <w:color w:val="auto"/>
          <w:spacing w:val="-3"/>
          <w:sz w:val="28"/>
          <w:szCs w:val="28"/>
          <w:lang w:val="en-US" w:eastAsia="zh-CN"/>
        </w:rPr>
        <w:t>第二课堂活动：利用第二课堂平台，开展“体育文化节”、体育</w:t>
      </w:r>
      <w:r>
        <w:rPr>
          <w:rFonts w:hint="eastAsia" w:ascii="Times New Roman" w:hAnsi="Times New Roman" w:eastAsia="仿宋" w:cs="Times New Roman"/>
          <w:color w:val="auto"/>
          <w:spacing w:val="-3"/>
          <w:sz w:val="28"/>
          <w:szCs w:val="28"/>
          <w:lang w:val="en-US" w:eastAsia="zh-CN"/>
        </w:rPr>
        <w:t>特长</w:t>
      </w:r>
      <w:r>
        <w:rPr>
          <w:rFonts w:hint="default" w:ascii="Times New Roman" w:hAnsi="Times New Roman" w:eastAsia="仿宋" w:cs="Times New Roman"/>
          <w:color w:val="auto"/>
          <w:spacing w:val="-3"/>
          <w:sz w:val="28"/>
          <w:szCs w:val="28"/>
          <w:lang w:val="en-US" w:eastAsia="zh-CN"/>
        </w:rPr>
        <w:t>学生对大学生体育俱乐部的指导训练等活动，营造浓郁的学习氛围。</w:t>
      </w:r>
    </w:p>
    <w:p w14:paraId="40B62467">
      <w:pPr>
        <w:pStyle w:val="12"/>
        <w:pageBreakBefore w:val="0"/>
        <w:widowControl w:val="0"/>
        <w:kinsoku/>
        <w:wordWrap/>
        <w:overflowPunct/>
        <w:topLinePunct w:val="0"/>
        <w:autoSpaceDE w:val="0"/>
        <w:autoSpaceDN w:val="0"/>
        <w:bidi w:val="0"/>
        <w:adjustRightInd/>
        <w:snapToGrid/>
        <w:spacing w:line="500" w:lineRule="exact"/>
        <w:ind w:firstLine="643" w:firstLineChars="200"/>
        <w:jc w:val="left"/>
        <w:textAlignment w:val="auto"/>
        <w:rPr>
          <w:rFonts w:hint="eastAsia" w:ascii="仿宋" w:hAnsi="仿宋" w:cs="Times New Roman"/>
          <w:color w:val="auto"/>
          <w:kern w:val="0"/>
          <w:sz w:val="28"/>
          <w:szCs w:val="28"/>
          <w:lang w:val="en-US" w:bidi="zh-CN"/>
        </w:rPr>
      </w:pPr>
      <w:bookmarkStart w:id="131" w:name="_Toc25802"/>
      <w:r>
        <w:rPr>
          <w:rStyle w:val="38"/>
          <w:rFonts w:hint="eastAsia" w:ascii="黑体" w:hAnsi="黑体" w:eastAsia="黑体" w:cs="黑体"/>
          <w:b/>
          <w:bCs w:val="0"/>
          <w:lang w:val="en-US" w:eastAsia="zh-CN"/>
        </w:rPr>
        <w:t>5.2学业成绩及综合素质.</w:t>
      </w:r>
      <w:bookmarkEnd w:id="131"/>
      <w:r>
        <w:rPr>
          <w:rFonts w:hint="eastAsia" w:ascii="仿宋" w:hAnsi="仿宋" w:eastAsia="仿宋" w:cs="Times New Roman"/>
          <w:color w:val="auto"/>
          <w:kern w:val="0"/>
          <w:sz w:val="28"/>
          <w:szCs w:val="28"/>
          <w:lang w:val="zh-CN" w:bidi="zh-CN"/>
        </w:rPr>
        <w:t>此部分标注*，无需体育部</w:t>
      </w:r>
      <w:r>
        <w:rPr>
          <w:rFonts w:hint="eastAsia" w:ascii="仿宋" w:hAnsi="仿宋" w:cs="Times New Roman"/>
          <w:color w:val="auto"/>
          <w:kern w:val="0"/>
          <w:sz w:val="28"/>
          <w:szCs w:val="28"/>
          <w:lang w:val="en-US" w:bidi="zh-CN"/>
        </w:rPr>
        <w:t>自评</w:t>
      </w:r>
      <w:r>
        <w:rPr>
          <w:rFonts w:hint="eastAsia" w:ascii="仿宋" w:hAnsi="仿宋" w:eastAsia="仿宋" w:cs="Times New Roman"/>
          <w:color w:val="auto"/>
          <w:kern w:val="0"/>
          <w:sz w:val="28"/>
          <w:szCs w:val="28"/>
          <w:lang w:val="zh-CN" w:bidi="zh-CN"/>
        </w:rPr>
        <w:t>。</w:t>
      </w:r>
    </w:p>
    <w:p w14:paraId="12C46CE1">
      <w:pPr>
        <w:pageBreakBefore w:val="0"/>
        <w:widowControl w:val="0"/>
        <w:kinsoku/>
        <w:wordWrap/>
        <w:overflowPunct/>
        <w:topLinePunct w:val="0"/>
        <w:autoSpaceDE w:val="0"/>
        <w:autoSpaceDN w:val="0"/>
        <w:bidi w:val="0"/>
        <w:adjustRightInd/>
        <w:snapToGrid/>
        <w:spacing w:line="500" w:lineRule="exact"/>
        <w:ind w:firstLine="643" w:firstLineChars="200"/>
        <w:jc w:val="left"/>
        <w:textAlignment w:val="auto"/>
        <w:rPr>
          <w:rFonts w:hint="eastAsia" w:ascii="仿宋" w:hAnsi="仿宋" w:eastAsia="仿宋" w:cs="Times New Roman"/>
          <w:color w:val="auto"/>
          <w:kern w:val="0"/>
          <w:sz w:val="28"/>
          <w:szCs w:val="28"/>
          <w:lang w:val="zh-CN" w:bidi="zh-CN"/>
        </w:rPr>
      </w:pPr>
      <w:bookmarkStart w:id="132" w:name="_Toc6529"/>
      <w:r>
        <w:rPr>
          <w:rStyle w:val="38"/>
          <w:rFonts w:hint="eastAsia" w:ascii="黑体" w:hAnsi="黑体" w:cs="黑体"/>
          <w:b/>
          <w:bCs w:val="0"/>
          <w:lang w:val="en-US" w:eastAsia="zh-CN" w:bidi="zh-CN"/>
        </w:rPr>
        <w:t>5.3国际视野.</w:t>
      </w:r>
      <w:bookmarkEnd w:id="132"/>
      <w:r>
        <w:rPr>
          <w:rFonts w:hint="eastAsia" w:ascii="仿宋" w:hAnsi="仿宋" w:eastAsia="仿宋" w:cs="Times New Roman"/>
          <w:color w:val="auto"/>
          <w:kern w:val="0"/>
          <w:sz w:val="28"/>
          <w:szCs w:val="28"/>
          <w:lang w:val="zh-CN" w:bidi="zh-CN"/>
        </w:rPr>
        <w:t>此部分标注*，无需体育部</w:t>
      </w:r>
      <w:r>
        <w:rPr>
          <w:rFonts w:hint="eastAsia" w:ascii="仿宋" w:hAnsi="仿宋" w:cs="Times New Roman"/>
          <w:color w:val="auto"/>
          <w:kern w:val="0"/>
          <w:sz w:val="28"/>
          <w:szCs w:val="28"/>
          <w:lang w:val="en-US" w:bidi="zh-CN"/>
        </w:rPr>
        <w:t>自评</w:t>
      </w:r>
      <w:r>
        <w:rPr>
          <w:rFonts w:hint="eastAsia" w:ascii="仿宋" w:hAnsi="仿宋" w:eastAsia="仿宋" w:cs="Times New Roman"/>
          <w:color w:val="auto"/>
          <w:kern w:val="0"/>
          <w:sz w:val="28"/>
          <w:szCs w:val="28"/>
          <w:lang w:val="zh-CN" w:bidi="zh-CN"/>
        </w:rPr>
        <w:t>。</w:t>
      </w:r>
    </w:p>
    <w:p w14:paraId="0AEDF76A">
      <w:pPr>
        <w:pStyle w:val="12"/>
        <w:pageBreakBefore w:val="0"/>
        <w:widowControl w:val="0"/>
        <w:kinsoku/>
        <w:wordWrap/>
        <w:overflowPunct/>
        <w:topLinePunct w:val="0"/>
        <w:autoSpaceDE w:val="0"/>
        <w:autoSpaceDN w:val="0"/>
        <w:bidi w:val="0"/>
        <w:adjustRightInd/>
        <w:snapToGrid/>
        <w:spacing w:line="500" w:lineRule="exact"/>
        <w:ind w:firstLine="643" w:firstLineChars="200"/>
        <w:jc w:val="left"/>
        <w:textAlignment w:val="auto"/>
        <w:rPr>
          <w:rFonts w:hint="eastAsia" w:ascii="仿宋" w:hAnsi="仿宋" w:eastAsia="仿宋" w:cs="Times New Roman"/>
          <w:color w:val="auto"/>
          <w:kern w:val="0"/>
          <w:sz w:val="28"/>
          <w:szCs w:val="28"/>
          <w:lang w:val="zh-CN" w:bidi="zh-CN"/>
        </w:rPr>
      </w:pPr>
      <w:bookmarkStart w:id="133" w:name="_Toc23347"/>
      <w:r>
        <w:rPr>
          <w:rStyle w:val="38"/>
          <w:rFonts w:hint="eastAsia" w:ascii="黑体" w:hAnsi="黑体" w:eastAsia="黑体" w:cs="黑体"/>
          <w:b/>
          <w:bCs w:val="0"/>
          <w:lang w:val="en-US" w:eastAsia="zh-CN"/>
        </w:rPr>
        <w:t>5.4支持服务.</w:t>
      </w:r>
      <w:bookmarkEnd w:id="133"/>
      <w:r>
        <w:rPr>
          <w:rFonts w:hint="eastAsia" w:ascii="仿宋" w:hAnsi="仿宋" w:eastAsia="仿宋" w:cs="Times New Roman"/>
          <w:color w:val="auto"/>
          <w:kern w:val="0"/>
          <w:sz w:val="28"/>
          <w:szCs w:val="28"/>
          <w:lang w:val="zh-CN" w:bidi="zh-CN"/>
        </w:rPr>
        <w:t>此部分标注*，无需体育部</w:t>
      </w:r>
      <w:r>
        <w:rPr>
          <w:rFonts w:hint="eastAsia" w:ascii="仿宋" w:hAnsi="仿宋" w:cs="Times New Roman"/>
          <w:color w:val="auto"/>
          <w:kern w:val="0"/>
          <w:sz w:val="28"/>
          <w:szCs w:val="28"/>
          <w:lang w:val="en-US" w:bidi="zh-CN"/>
        </w:rPr>
        <w:t>自评</w:t>
      </w:r>
      <w:r>
        <w:rPr>
          <w:rFonts w:hint="eastAsia" w:ascii="仿宋" w:hAnsi="仿宋" w:eastAsia="仿宋" w:cs="Times New Roman"/>
          <w:color w:val="auto"/>
          <w:kern w:val="0"/>
          <w:sz w:val="28"/>
          <w:szCs w:val="28"/>
          <w:lang w:val="zh-CN" w:bidi="zh-CN"/>
        </w:rPr>
        <w:t>。</w:t>
      </w:r>
    </w:p>
    <w:p w14:paraId="17172004">
      <w:pPr>
        <w:rPr>
          <w:rFonts w:hint="default"/>
          <w:color w:val="auto"/>
          <w:lang w:val="en-US"/>
        </w:rPr>
      </w:pPr>
    </w:p>
    <w:p w14:paraId="7742D6AF">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eastAsia" w:ascii="黑体" w:hAnsi="黑体" w:eastAsia="黑体" w:cs="黑体"/>
          <w:b/>
          <w:bCs/>
          <w:color w:val="auto"/>
          <w:sz w:val="32"/>
          <w:szCs w:val="32"/>
          <w:lang w:val="en-US" w:eastAsia="zh-CN"/>
        </w:rPr>
      </w:pPr>
      <w:bookmarkStart w:id="134" w:name="_Toc8077"/>
      <w:r>
        <w:rPr>
          <w:rFonts w:hint="eastAsia" w:ascii="黑体" w:hAnsi="黑体" w:eastAsia="黑体" w:cs="黑体"/>
          <w:b/>
          <w:bCs/>
          <w:color w:val="auto"/>
          <w:sz w:val="32"/>
          <w:szCs w:val="32"/>
          <w:lang w:val="en-US" w:eastAsia="zh-CN"/>
        </w:rPr>
        <w:t>6. 质量保障</w:t>
      </w:r>
      <w:bookmarkEnd w:id="134"/>
    </w:p>
    <w:p w14:paraId="0B4C51F7">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eastAsia" w:ascii="黑体" w:hAnsi="黑体" w:eastAsia="黑体" w:cs="黑体"/>
          <w:b/>
          <w:bCs/>
          <w:color w:val="auto"/>
          <w:sz w:val="32"/>
          <w:szCs w:val="32"/>
          <w:lang w:val="en-US" w:eastAsia="zh-CN"/>
        </w:rPr>
      </w:pPr>
      <w:bookmarkStart w:id="135" w:name="_Toc31583"/>
      <w:r>
        <w:rPr>
          <w:rFonts w:hint="eastAsia" w:ascii="黑体" w:hAnsi="黑体" w:eastAsia="黑体" w:cs="黑体"/>
          <w:b/>
          <w:bCs/>
          <w:color w:val="auto"/>
          <w:sz w:val="32"/>
          <w:szCs w:val="32"/>
          <w:lang w:val="en-US" w:eastAsia="zh-CN"/>
        </w:rPr>
        <w:t>6.1 质量管理</w:t>
      </w:r>
      <w:bookmarkEnd w:id="135"/>
    </w:p>
    <w:p w14:paraId="23E5C70A">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136" w:name="_Toc23991"/>
      <w:bookmarkStart w:id="137" w:name="_Toc8649"/>
      <w:r>
        <w:rPr>
          <w:rFonts w:hint="eastAsia" w:ascii="仿宋" w:hAnsi="仿宋" w:eastAsia="仿宋" w:cs="仿宋"/>
          <w:b/>
          <w:bCs/>
          <w:color w:val="auto"/>
          <w:sz w:val="28"/>
          <w:szCs w:val="28"/>
          <w:lang w:val="en-US" w:eastAsia="zh-CN"/>
        </w:rPr>
        <w:t>6.1.1教学管理机制完善与落实</w:t>
      </w:r>
      <w:bookmarkEnd w:id="136"/>
      <w:bookmarkEnd w:id="137"/>
    </w:p>
    <w:p w14:paraId="553D3DEA">
      <w:pPr>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我部依据学校制度</w:t>
      </w:r>
      <w:r>
        <w:rPr>
          <w:rFonts w:hint="eastAsia" w:ascii="仿宋" w:hAnsi="仿宋" w:eastAsia="仿宋" w:cs="仿宋"/>
          <w:color w:val="auto"/>
          <w:sz w:val="28"/>
          <w:szCs w:val="28"/>
        </w:rPr>
        <w:t>建立了</w:t>
      </w:r>
      <w:r>
        <w:rPr>
          <w:rFonts w:hint="eastAsia" w:ascii="仿宋" w:hAnsi="仿宋" w:eastAsia="仿宋" w:cs="仿宋"/>
          <w:color w:val="auto"/>
          <w:sz w:val="28"/>
          <w:szCs w:val="28"/>
          <w:lang w:val="en-US" w:eastAsia="zh-CN"/>
        </w:rPr>
        <w:t>由体育部主任</w:t>
      </w:r>
      <w:r>
        <w:rPr>
          <w:rFonts w:hint="eastAsia" w:ascii="仿宋" w:hAnsi="仿宋" w:eastAsia="仿宋" w:cs="仿宋"/>
          <w:color w:val="auto"/>
          <w:sz w:val="28"/>
          <w:szCs w:val="28"/>
        </w:rPr>
        <w:t>、教学督导、</w:t>
      </w:r>
      <w:r>
        <w:rPr>
          <w:rFonts w:hint="eastAsia" w:ascii="仿宋" w:hAnsi="仿宋" w:eastAsia="仿宋" w:cs="仿宋"/>
          <w:color w:val="auto"/>
          <w:sz w:val="28"/>
          <w:szCs w:val="28"/>
          <w:lang w:val="en-US" w:eastAsia="zh-CN"/>
        </w:rPr>
        <w:t>教务办主任、教研室</w:t>
      </w:r>
      <w:r>
        <w:rPr>
          <w:rFonts w:hint="eastAsia" w:ascii="仿宋" w:hAnsi="仿宋" w:eastAsia="仿宋" w:cs="仿宋"/>
          <w:color w:val="auto"/>
          <w:sz w:val="28"/>
          <w:szCs w:val="28"/>
        </w:rPr>
        <w:t>主任和</w:t>
      </w:r>
      <w:r>
        <w:rPr>
          <w:rFonts w:hint="eastAsia" w:ascii="仿宋" w:hAnsi="仿宋" w:eastAsia="仿宋" w:cs="仿宋"/>
          <w:color w:val="auto"/>
          <w:sz w:val="28"/>
          <w:szCs w:val="28"/>
          <w:lang w:eastAsia="zh-CN"/>
        </w:rPr>
        <w:t>竞赛项目</w:t>
      </w:r>
      <w:r>
        <w:rPr>
          <w:rFonts w:hint="eastAsia" w:ascii="仿宋" w:hAnsi="仿宋" w:eastAsia="仿宋" w:cs="仿宋"/>
          <w:color w:val="auto"/>
          <w:sz w:val="28"/>
          <w:szCs w:val="28"/>
        </w:rPr>
        <w:t>负责人</w:t>
      </w:r>
      <w:r>
        <w:rPr>
          <w:rFonts w:hint="eastAsia" w:ascii="仿宋" w:hAnsi="仿宋" w:eastAsia="仿宋" w:cs="仿宋"/>
          <w:color w:val="auto"/>
          <w:sz w:val="28"/>
          <w:szCs w:val="28"/>
          <w:lang w:val="en-US" w:eastAsia="zh-CN"/>
        </w:rPr>
        <w:t>组成的体育部教学指导委员会对体育部的教学管理进行总体指导，凡是涉及重要教学管理问题均由部委会决议。部委会对常规教学管理进行安排部署。体育部主任对教学进行全面管理，是教学管理与质量保障的第一责任人；教学副主任落实具体管理，是体育部教学管理的直接责任人。体育部正副主任领导下的教务办主任、教学督导与教研室主任对日常课堂教学</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实践教学</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实训室</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实践场馆、竞赛活动、教师教学行为、考试（考查）方案与组织、教务系统维护、成绩管理、人才培养方案与教学大纲修订等教学材料归档</w:t>
      </w:r>
      <w:r>
        <w:rPr>
          <w:rFonts w:hint="eastAsia" w:ascii="仿宋" w:hAnsi="仿宋" w:eastAsia="仿宋" w:cs="仿宋"/>
          <w:color w:val="auto"/>
          <w:sz w:val="28"/>
          <w:szCs w:val="28"/>
        </w:rPr>
        <w:t>等实施</w:t>
      </w:r>
      <w:r>
        <w:rPr>
          <w:rFonts w:hint="eastAsia" w:ascii="仿宋" w:hAnsi="仿宋" w:eastAsia="仿宋" w:cs="仿宋"/>
          <w:color w:val="auto"/>
          <w:sz w:val="28"/>
          <w:szCs w:val="28"/>
          <w:lang w:val="en-US" w:eastAsia="zh-CN"/>
        </w:rPr>
        <w:t>管理</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各教研室主任对专业教学与人才培养活动落实组织与具体安排，并</w:t>
      </w:r>
      <w:r>
        <w:rPr>
          <w:rFonts w:hint="eastAsia" w:ascii="仿宋" w:hAnsi="仿宋" w:eastAsia="仿宋" w:cs="仿宋"/>
          <w:color w:val="auto"/>
          <w:sz w:val="28"/>
          <w:szCs w:val="28"/>
        </w:rPr>
        <w:t>开展</w:t>
      </w:r>
      <w:r>
        <w:rPr>
          <w:rFonts w:hint="eastAsia" w:ascii="仿宋" w:hAnsi="仿宋" w:eastAsia="仿宋" w:cs="仿宋"/>
          <w:color w:val="auto"/>
          <w:sz w:val="28"/>
          <w:szCs w:val="28"/>
          <w:lang w:val="en-US" w:eastAsia="zh-CN"/>
        </w:rPr>
        <w:t>教师教研管理、</w:t>
      </w:r>
      <w:r>
        <w:rPr>
          <w:rFonts w:hint="eastAsia" w:ascii="仿宋" w:hAnsi="仿宋" w:eastAsia="仿宋" w:cs="仿宋"/>
          <w:color w:val="auto"/>
          <w:sz w:val="28"/>
          <w:szCs w:val="28"/>
        </w:rPr>
        <w:t>教师教学竞赛和教学成果奖评审，组织</w:t>
      </w:r>
      <w:r>
        <w:rPr>
          <w:rFonts w:hint="eastAsia" w:ascii="仿宋" w:hAnsi="仿宋" w:eastAsia="仿宋" w:cs="仿宋"/>
          <w:color w:val="auto"/>
          <w:sz w:val="28"/>
          <w:szCs w:val="28"/>
          <w:lang w:eastAsia="zh-CN"/>
        </w:rPr>
        <w:t>学生参加</w:t>
      </w:r>
      <w:r>
        <w:rPr>
          <w:rFonts w:hint="eastAsia" w:ascii="仿宋" w:hAnsi="仿宋" w:eastAsia="仿宋" w:cs="仿宋"/>
          <w:color w:val="auto"/>
          <w:sz w:val="28"/>
          <w:szCs w:val="28"/>
          <w:lang w:val="en-US" w:eastAsia="zh-CN"/>
        </w:rPr>
        <w:t>各项体育竞赛项目</w:t>
      </w:r>
      <w:r>
        <w:rPr>
          <w:rFonts w:hint="eastAsia" w:ascii="仿宋" w:hAnsi="仿宋" w:eastAsia="仿宋" w:cs="仿宋"/>
          <w:color w:val="auto"/>
          <w:sz w:val="28"/>
          <w:szCs w:val="28"/>
        </w:rPr>
        <w:t>，以赛促</w:t>
      </w:r>
      <w:r>
        <w:rPr>
          <w:rFonts w:hint="eastAsia" w:ascii="仿宋" w:hAnsi="仿宋" w:eastAsia="仿宋" w:cs="仿宋"/>
          <w:color w:val="auto"/>
          <w:sz w:val="28"/>
          <w:szCs w:val="28"/>
          <w:lang w:val="en-US" w:eastAsia="zh-CN"/>
        </w:rPr>
        <w:t>教、以赛促学。</w:t>
      </w:r>
    </w:p>
    <w:p w14:paraId="0245ED0A">
      <w:pPr>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体育部以制度治教，建立了完善的管理制度。体育部依据学校制度部门根据学校要求和人才培养目标，对部门构建的教学管理职能机构制定了《体育教学部教学管理制度》等多项规章制度19个（见附表6-1）。这些制度的制定与执行，规范了我部的教学工作与管理程序，确保了通过《大学体育》（含《形体》）教学目标的实现。</w:t>
      </w:r>
    </w:p>
    <w:tbl>
      <w:tblPr>
        <w:tblStyle w:val="16"/>
        <w:tblW w:w="910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59"/>
        <w:gridCol w:w="4017"/>
        <w:gridCol w:w="1722"/>
        <w:gridCol w:w="1616"/>
        <w:gridCol w:w="787"/>
      </w:tblGrid>
      <w:tr w14:paraId="2155B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97" w:hRule="atLeast"/>
          <w:jc w:val="center"/>
        </w:trPr>
        <w:tc>
          <w:tcPr>
            <w:tcW w:w="9101" w:type="dxa"/>
            <w:gridSpan w:val="5"/>
            <w:tcBorders>
              <w:top w:val="nil"/>
              <w:left w:val="nil"/>
              <w:bottom w:val="nil"/>
              <w:right w:val="nil"/>
            </w:tcBorders>
            <w:shd w:val="clear" w:color="auto" w:fill="auto"/>
            <w:vAlign w:val="center"/>
          </w:tcPr>
          <w:p w14:paraId="7E09FCC6">
            <w:pPr>
              <w:keepNext w:val="0"/>
              <w:keepLines w:val="0"/>
              <w:pageBreakBefore w:val="0"/>
              <w:widowControl/>
              <w:suppressLineNumbers w:val="0"/>
              <w:kinsoku/>
              <w:wordWrap/>
              <w:overflowPunct/>
              <w:bidi w:val="0"/>
              <w:spacing w:line="317" w:lineRule="auto"/>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8"/>
                <w:szCs w:val="28"/>
                <w:u w:val="none"/>
                <w:lang w:val="en-US" w:eastAsia="zh-CN" w:bidi="ar"/>
              </w:rPr>
              <w:t>6-1.体育部教学管理制度</w:t>
            </w:r>
          </w:p>
        </w:tc>
      </w:tr>
      <w:tr w14:paraId="636D2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4F575">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序号</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B962F">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文件名称</w:t>
            </w:r>
          </w:p>
        </w:tc>
        <w:tc>
          <w:tcPr>
            <w:tcW w:w="1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D1EFE">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发布单位</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B75F5">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cs="仿宋"/>
                <w:b/>
                <w:bCs/>
                <w:i w:val="0"/>
                <w:iCs w:val="0"/>
                <w:color w:val="auto"/>
                <w:kern w:val="0"/>
                <w:sz w:val="24"/>
                <w:szCs w:val="24"/>
                <w:u w:val="none"/>
                <w:lang w:val="en-US" w:eastAsia="zh-CN" w:bidi="ar"/>
              </w:rPr>
              <w:t>修订</w:t>
            </w:r>
            <w:r>
              <w:rPr>
                <w:rFonts w:hint="eastAsia" w:ascii="仿宋" w:hAnsi="仿宋" w:eastAsia="仿宋" w:cs="仿宋"/>
                <w:b/>
                <w:bCs/>
                <w:i w:val="0"/>
                <w:iCs w:val="0"/>
                <w:color w:val="auto"/>
                <w:kern w:val="0"/>
                <w:sz w:val="24"/>
                <w:szCs w:val="24"/>
                <w:u w:val="none"/>
                <w:lang w:val="en-US" w:eastAsia="zh-CN" w:bidi="ar"/>
              </w:rPr>
              <w:t>时间</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8E9DC">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备注</w:t>
            </w:r>
          </w:p>
        </w:tc>
      </w:tr>
      <w:tr w14:paraId="3BE28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10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58AA79B">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一、教学管理类</w:t>
            </w:r>
          </w:p>
        </w:tc>
      </w:tr>
      <w:tr w14:paraId="4883E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B43F6">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1</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E9A25">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体育部主任（副主任）岗位职责</w:t>
            </w:r>
          </w:p>
        </w:tc>
        <w:tc>
          <w:tcPr>
            <w:tcW w:w="1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226DB">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体育部</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61186">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cs="仿宋"/>
                <w:b w:val="0"/>
                <w:bCs w:val="0"/>
                <w:i w:val="0"/>
                <w:iCs w:val="0"/>
                <w:color w:val="auto"/>
                <w:kern w:val="0"/>
                <w:sz w:val="24"/>
                <w:szCs w:val="24"/>
                <w:u w:val="none"/>
                <w:lang w:val="en-US" w:eastAsia="zh-CN" w:bidi="ar"/>
              </w:rPr>
              <w:t xml:space="preserve">   </w:t>
            </w:r>
            <w:r>
              <w:rPr>
                <w:rFonts w:hint="eastAsia" w:ascii="仿宋" w:hAnsi="仿宋" w:eastAsia="仿宋" w:cs="仿宋"/>
                <w:b w:val="0"/>
                <w:bCs w:val="0"/>
                <w:i w:val="0"/>
                <w:iCs w:val="0"/>
                <w:color w:val="auto"/>
                <w:kern w:val="0"/>
                <w:sz w:val="24"/>
                <w:szCs w:val="24"/>
                <w:u w:val="none"/>
                <w:lang w:val="en-US" w:eastAsia="zh-CN" w:bidi="ar"/>
              </w:rPr>
              <w:t>20</w:t>
            </w:r>
            <w:r>
              <w:rPr>
                <w:rFonts w:hint="eastAsia" w:ascii="仿宋" w:hAnsi="仿宋" w:cs="仿宋"/>
                <w:b w:val="0"/>
                <w:bCs w:val="0"/>
                <w:i w:val="0"/>
                <w:iCs w:val="0"/>
                <w:color w:val="auto"/>
                <w:kern w:val="0"/>
                <w:sz w:val="24"/>
                <w:szCs w:val="24"/>
                <w:u w:val="none"/>
                <w:lang w:val="en-US" w:eastAsia="zh-CN" w:bidi="ar"/>
              </w:rPr>
              <w:t>24</w:t>
            </w:r>
            <w:r>
              <w:rPr>
                <w:rFonts w:hint="eastAsia" w:ascii="仿宋" w:hAnsi="仿宋" w:eastAsia="仿宋" w:cs="仿宋"/>
                <w:b w:val="0"/>
                <w:bCs w:val="0"/>
                <w:i w:val="0"/>
                <w:iCs w:val="0"/>
                <w:color w:val="auto"/>
                <w:kern w:val="0"/>
                <w:sz w:val="24"/>
                <w:szCs w:val="24"/>
                <w:u w:val="none"/>
                <w:lang w:val="en-US" w:eastAsia="zh-CN" w:bidi="ar"/>
              </w:rPr>
              <w:t>.07</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839AF">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p>
        </w:tc>
      </w:tr>
      <w:tr w14:paraId="5E597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3BB60">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2</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57244">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教研室主任职责</w:t>
            </w:r>
          </w:p>
        </w:tc>
        <w:tc>
          <w:tcPr>
            <w:tcW w:w="1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3F159">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体育部</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1705C">
            <w:pPr>
              <w:keepNext w:val="0"/>
              <w:keepLines w:val="0"/>
              <w:pageBreakBefore w:val="0"/>
              <w:widowControl/>
              <w:suppressLineNumbers w:val="0"/>
              <w:kinsoku/>
              <w:wordWrap/>
              <w:overflowPunct/>
              <w:bidi w:val="0"/>
              <w:spacing w:line="317" w:lineRule="auto"/>
              <w:ind w:left="0" w:leftChars="0" w:firstLine="480" w:firstLineChars="20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20</w:t>
            </w:r>
            <w:r>
              <w:rPr>
                <w:rFonts w:hint="eastAsia" w:ascii="仿宋" w:hAnsi="仿宋" w:cs="仿宋"/>
                <w:b w:val="0"/>
                <w:bCs w:val="0"/>
                <w:i w:val="0"/>
                <w:iCs w:val="0"/>
                <w:color w:val="auto"/>
                <w:kern w:val="0"/>
                <w:sz w:val="24"/>
                <w:szCs w:val="24"/>
                <w:u w:val="none"/>
                <w:lang w:val="en-US" w:eastAsia="zh-CN" w:bidi="ar"/>
              </w:rPr>
              <w:t>24</w:t>
            </w:r>
            <w:r>
              <w:rPr>
                <w:rFonts w:hint="eastAsia" w:ascii="仿宋" w:hAnsi="仿宋" w:eastAsia="仿宋" w:cs="仿宋"/>
                <w:b w:val="0"/>
                <w:bCs w:val="0"/>
                <w:i w:val="0"/>
                <w:iCs w:val="0"/>
                <w:color w:val="auto"/>
                <w:kern w:val="0"/>
                <w:sz w:val="24"/>
                <w:szCs w:val="24"/>
                <w:u w:val="none"/>
                <w:lang w:val="en-US" w:eastAsia="zh-CN" w:bidi="ar"/>
              </w:rPr>
              <w:t>.07</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9F812">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p>
        </w:tc>
      </w:tr>
      <w:tr w14:paraId="0E355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50277">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3</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464E7">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体育部秘书岗位职责</w:t>
            </w:r>
          </w:p>
        </w:tc>
        <w:tc>
          <w:tcPr>
            <w:tcW w:w="1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9B356">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体育部</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6D8DB">
            <w:pPr>
              <w:keepNext w:val="0"/>
              <w:keepLines w:val="0"/>
              <w:pageBreakBefore w:val="0"/>
              <w:widowControl/>
              <w:suppressLineNumbers w:val="0"/>
              <w:kinsoku/>
              <w:wordWrap/>
              <w:overflowPunct/>
              <w:bidi w:val="0"/>
              <w:spacing w:line="317" w:lineRule="auto"/>
              <w:ind w:left="0" w:leftChars="0" w:firstLine="480" w:firstLineChars="20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20</w:t>
            </w:r>
            <w:r>
              <w:rPr>
                <w:rFonts w:hint="eastAsia" w:ascii="仿宋" w:hAnsi="仿宋" w:cs="仿宋"/>
                <w:b w:val="0"/>
                <w:bCs w:val="0"/>
                <w:i w:val="0"/>
                <w:iCs w:val="0"/>
                <w:color w:val="auto"/>
                <w:kern w:val="0"/>
                <w:sz w:val="24"/>
                <w:szCs w:val="24"/>
                <w:u w:val="none"/>
                <w:lang w:val="en-US" w:eastAsia="zh-CN" w:bidi="ar"/>
              </w:rPr>
              <w:t>24</w:t>
            </w:r>
            <w:r>
              <w:rPr>
                <w:rFonts w:hint="eastAsia" w:ascii="仿宋" w:hAnsi="仿宋" w:eastAsia="仿宋" w:cs="仿宋"/>
                <w:b w:val="0"/>
                <w:bCs w:val="0"/>
                <w:i w:val="0"/>
                <w:iCs w:val="0"/>
                <w:color w:val="auto"/>
                <w:kern w:val="0"/>
                <w:sz w:val="24"/>
                <w:szCs w:val="24"/>
                <w:u w:val="none"/>
                <w:lang w:val="en-US" w:eastAsia="zh-CN" w:bidi="ar"/>
              </w:rPr>
              <w:t>.07</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EB3E9">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p>
        </w:tc>
      </w:tr>
      <w:tr w14:paraId="2C090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F5CF1">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4</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40C52">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教学资料员岗位职责</w:t>
            </w:r>
          </w:p>
        </w:tc>
        <w:tc>
          <w:tcPr>
            <w:tcW w:w="1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B64B7">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体育部</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DF84C">
            <w:pPr>
              <w:keepNext w:val="0"/>
              <w:keepLines w:val="0"/>
              <w:pageBreakBefore w:val="0"/>
              <w:widowControl/>
              <w:suppressLineNumbers w:val="0"/>
              <w:kinsoku/>
              <w:wordWrap/>
              <w:overflowPunct/>
              <w:bidi w:val="0"/>
              <w:spacing w:line="317" w:lineRule="auto"/>
              <w:ind w:left="0" w:leftChars="0" w:firstLine="480" w:firstLineChars="20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20</w:t>
            </w:r>
            <w:r>
              <w:rPr>
                <w:rFonts w:hint="eastAsia" w:ascii="仿宋" w:hAnsi="仿宋" w:cs="仿宋"/>
                <w:b w:val="0"/>
                <w:bCs w:val="0"/>
                <w:i w:val="0"/>
                <w:iCs w:val="0"/>
                <w:color w:val="auto"/>
                <w:kern w:val="0"/>
                <w:sz w:val="24"/>
                <w:szCs w:val="24"/>
                <w:u w:val="none"/>
                <w:lang w:val="en-US" w:eastAsia="zh-CN" w:bidi="ar"/>
              </w:rPr>
              <w:t>24</w:t>
            </w:r>
            <w:r>
              <w:rPr>
                <w:rFonts w:hint="eastAsia" w:ascii="仿宋" w:hAnsi="仿宋" w:eastAsia="仿宋" w:cs="仿宋"/>
                <w:b w:val="0"/>
                <w:bCs w:val="0"/>
                <w:i w:val="0"/>
                <w:iCs w:val="0"/>
                <w:color w:val="auto"/>
                <w:kern w:val="0"/>
                <w:sz w:val="24"/>
                <w:szCs w:val="24"/>
                <w:u w:val="none"/>
                <w:lang w:val="en-US" w:eastAsia="zh-CN" w:bidi="ar"/>
              </w:rPr>
              <w:t>.07</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435D1">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p>
        </w:tc>
      </w:tr>
      <w:tr w14:paraId="68B5E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7988B">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5</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87D15">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体育教学部制度</w:t>
            </w:r>
          </w:p>
        </w:tc>
        <w:tc>
          <w:tcPr>
            <w:tcW w:w="1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49362">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体育部</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0F672">
            <w:pPr>
              <w:keepNext w:val="0"/>
              <w:keepLines w:val="0"/>
              <w:pageBreakBefore w:val="0"/>
              <w:widowControl/>
              <w:suppressLineNumbers w:val="0"/>
              <w:kinsoku/>
              <w:wordWrap/>
              <w:overflowPunct/>
              <w:bidi w:val="0"/>
              <w:spacing w:line="317" w:lineRule="auto"/>
              <w:ind w:left="0" w:leftChars="0" w:firstLine="480" w:firstLineChars="20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20</w:t>
            </w:r>
            <w:r>
              <w:rPr>
                <w:rFonts w:hint="eastAsia" w:ascii="仿宋" w:hAnsi="仿宋" w:cs="仿宋"/>
                <w:b w:val="0"/>
                <w:bCs w:val="0"/>
                <w:i w:val="0"/>
                <w:iCs w:val="0"/>
                <w:color w:val="auto"/>
                <w:kern w:val="0"/>
                <w:sz w:val="24"/>
                <w:szCs w:val="24"/>
                <w:u w:val="none"/>
                <w:lang w:val="en-US" w:eastAsia="zh-CN" w:bidi="ar"/>
              </w:rPr>
              <w:t>24</w:t>
            </w:r>
            <w:r>
              <w:rPr>
                <w:rFonts w:hint="eastAsia" w:ascii="仿宋" w:hAnsi="仿宋" w:eastAsia="仿宋" w:cs="仿宋"/>
                <w:b w:val="0"/>
                <w:bCs w:val="0"/>
                <w:i w:val="0"/>
                <w:iCs w:val="0"/>
                <w:color w:val="auto"/>
                <w:kern w:val="0"/>
                <w:sz w:val="24"/>
                <w:szCs w:val="24"/>
                <w:u w:val="none"/>
                <w:lang w:val="en-US" w:eastAsia="zh-CN" w:bidi="ar"/>
              </w:rPr>
              <w:t>.07</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DDC7F">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p>
        </w:tc>
      </w:tr>
      <w:tr w14:paraId="24C44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FE8B6">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6</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65B7D">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体育部教学管理制度</w:t>
            </w:r>
          </w:p>
        </w:tc>
        <w:tc>
          <w:tcPr>
            <w:tcW w:w="1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4A9DC">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体育部</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34AFC">
            <w:pPr>
              <w:keepNext w:val="0"/>
              <w:keepLines w:val="0"/>
              <w:pageBreakBefore w:val="0"/>
              <w:widowControl/>
              <w:suppressLineNumbers w:val="0"/>
              <w:kinsoku/>
              <w:wordWrap/>
              <w:overflowPunct/>
              <w:bidi w:val="0"/>
              <w:spacing w:line="317" w:lineRule="auto"/>
              <w:ind w:left="0" w:leftChars="0" w:firstLine="480" w:firstLineChars="20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20</w:t>
            </w:r>
            <w:r>
              <w:rPr>
                <w:rFonts w:hint="eastAsia" w:ascii="仿宋" w:hAnsi="仿宋" w:cs="仿宋"/>
                <w:b w:val="0"/>
                <w:bCs w:val="0"/>
                <w:i w:val="0"/>
                <w:iCs w:val="0"/>
                <w:color w:val="auto"/>
                <w:kern w:val="0"/>
                <w:sz w:val="24"/>
                <w:szCs w:val="24"/>
                <w:u w:val="none"/>
                <w:lang w:val="en-US" w:eastAsia="zh-CN" w:bidi="ar"/>
              </w:rPr>
              <w:t>24</w:t>
            </w:r>
            <w:r>
              <w:rPr>
                <w:rFonts w:hint="eastAsia" w:ascii="仿宋" w:hAnsi="仿宋" w:eastAsia="仿宋" w:cs="仿宋"/>
                <w:b w:val="0"/>
                <w:bCs w:val="0"/>
                <w:i w:val="0"/>
                <w:iCs w:val="0"/>
                <w:color w:val="auto"/>
                <w:kern w:val="0"/>
                <w:sz w:val="24"/>
                <w:szCs w:val="24"/>
                <w:u w:val="none"/>
                <w:lang w:val="en-US" w:eastAsia="zh-CN" w:bidi="ar"/>
              </w:rPr>
              <w:t>.07</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A7F74">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p>
        </w:tc>
      </w:tr>
      <w:tr w14:paraId="60FB1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C91B7">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7</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08172">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体育教学检查听课制度</w:t>
            </w:r>
          </w:p>
        </w:tc>
        <w:tc>
          <w:tcPr>
            <w:tcW w:w="1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4A9C8">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体育部</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567D7">
            <w:pPr>
              <w:keepNext w:val="0"/>
              <w:keepLines w:val="0"/>
              <w:pageBreakBefore w:val="0"/>
              <w:widowControl/>
              <w:suppressLineNumbers w:val="0"/>
              <w:kinsoku/>
              <w:wordWrap/>
              <w:overflowPunct/>
              <w:bidi w:val="0"/>
              <w:spacing w:line="317" w:lineRule="auto"/>
              <w:ind w:left="0" w:leftChars="0" w:firstLine="480" w:firstLineChars="20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20</w:t>
            </w:r>
            <w:r>
              <w:rPr>
                <w:rFonts w:hint="eastAsia" w:ascii="仿宋" w:hAnsi="仿宋" w:cs="仿宋"/>
                <w:b w:val="0"/>
                <w:bCs w:val="0"/>
                <w:i w:val="0"/>
                <w:iCs w:val="0"/>
                <w:color w:val="auto"/>
                <w:kern w:val="0"/>
                <w:sz w:val="24"/>
                <w:szCs w:val="24"/>
                <w:u w:val="none"/>
                <w:lang w:val="en-US" w:eastAsia="zh-CN" w:bidi="ar"/>
              </w:rPr>
              <w:t>24</w:t>
            </w:r>
            <w:r>
              <w:rPr>
                <w:rFonts w:hint="eastAsia" w:ascii="仿宋" w:hAnsi="仿宋" w:eastAsia="仿宋" w:cs="仿宋"/>
                <w:b w:val="0"/>
                <w:bCs w:val="0"/>
                <w:i w:val="0"/>
                <w:iCs w:val="0"/>
                <w:color w:val="auto"/>
                <w:kern w:val="0"/>
                <w:sz w:val="24"/>
                <w:szCs w:val="24"/>
                <w:u w:val="none"/>
                <w:lang w:val="en-US" w:eastAsia="zh-CN" w:bidi="ar"/>
              </w:rPr>
              <w:t>.07</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995E8">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p>
        </w:tc>
      </w:tr>
      <w:tr w14:paraId="48F39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BE17C">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8</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900A2">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体育教师教学规范</w:t>
            </w:r>
          </w:p>
        </w:tc>
        <w:tc>
          <w:tcPr>
            <w:tcW w:w="1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AE47A">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体育部</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41251">
            <w:pPr>
              <w:keepNext w:val="0"/>
              <w:keepLines w:val="0"/>
              <w:pageBreakBefore w:val="0"/>
              <w:widowControl/>
              <w:suppressLineNumbers w:val="0"/>
              <w:kinsoku/>
              <w:wordWrap/>
              <w:overflowPunct/>
              <w:bidi w:val="0"/>
              <w:spacing w:line="317" w:lineRule="auto"/>
              <w:ind w:left="0" w:leftChars="0" w:firstLine="480" w:firstLineChars="20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20</w:t>
            </w:r>
            <w:r>
              <w:rPr>
                <w:rFonts w:hint="eastAsia" w:ascii="仿宋" w:hAnsi="仿宋" w:cs="仿宋"/>
                <w:b w:val="0"/>
                <w:bCs w:val="0"/>
                <w:i w:val="0"/>
                <w:iCs w:val="0"/>
                <w:color w:val="auto"/>
                <w:kern w:val="0"/>
                <w:sz w:val="24"/>
                <w:szCs w:val="24"/>
                <w:u w:val="none"/>
                <w:lang w:val="en-US" w:eastAsia="zh-CN" w:bidi="ar"/>
              </w:rPr>
              <w:t>24</w:t>
            </w:r>
            <w:r>
              <w:rPr>
                <w:rFonts w:hint="eastAsia" w:ascii="仿宋" w:hAnsi="仿宋" w:eastAsia="仿宋" w:cs="仿宋"/>
                <w:b w:val="0"/>
                <w:bCs w:val="0"/>
                <w:i w:val="0"/>
                <w:iCs w:val="0"/>
                <w:color w:val="auto"/>
                <w:kern w:val="0"/>
                <w:sz w:val="24"/>
                <w:szCs w:val="24"/>
                <w:u w:val="none"/>
                <w:lang w:val="en-US" w:eastAsia="zh-CN" w:bidi="ar"/>
              </w:rPr>
              <w:t>.07</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B4B23">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p>
        </w:tc>
      </w:tr>
      <w:tr w14:paraId="754C5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72598">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9</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B0116">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教学督导管理制度</w:t>
            </w:r>
          </w:p>
        </w:tc>
        <w:tc>
          <w:tcPr>
            <w:tcW w:w="1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49142">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体育部</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F5C22">
            <w:pPr>
              <w:keepNext w:val="0"/>
              <w:keepLines w:val="0"/>
              <w:pageBreakBefore w:val="0"/>
              <w:widowControl/>
              <w:suppressLineNumbers w:val="0"/>
              <w:kinsoku/>
              <w:wordWrap/>
              <w:overflowPunct/>
              <w:bidi w:val="0"/>
              <w:spacing w:line="317" w:lineRule="auto"/>
              <w:ind w:left="0" w:leftChars="0" w:firstLine="480" w:firstLineChars="20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20</w:t>
            </w:r>
            <w:r>
              <w:rPr>
                <w:rFonts w:hint="eastAsia" w:ascii="仿宋" w:hAnsi="仿宋" w:cs="仿宋"/>
                <w:b w:val="0"/>
                <w:bCs w:val="0"/>
                <w:i w:val="0"/>
                <w:iCs w:val="0"/>
                <w:color w:val="auto"/>
                <w:kern w:val="0"/>
                <w:sz w:val="24"/>
                <w:szCs w:val="24"/>
                <w:u w:val="none"/>
                <w:lang w:val="en-US" w:eastAsia="zh-CN" w:bidi="ar"/>
              </w:rPr>
              <w:t>24</w:t>
            </w:r>
            <w:r>
              <w:rPr>
                <w:rFonts w:hint="eastAsia" w:ascii="仿宋" w:hAnsi="仿宋" w:eastAsia="仿宋" w:cs="仿宋"/>
                <w:b w:val="0"/>
                <w:bCs w:val="0"/>
                <w:i w:val="0"/>
                <w:iCs w:val="0"/>
                <w:color w:val="auto"/>
                <w:kern w:val="0"/>
                <w:sz w:val="24"/>
                <w:szCs w:val="24"/>
                <w:u w:val="none"/>
                <w:lang w:val="en-US" w:eastAsia="zh-CN" w:bidi="ar"/>
              </w:rPr>
              <w:t>.07</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BBD5A">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p>
        </w:tc>
      </w:tr>
      <w:tr w14:paraId="0B03F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0CA52">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10</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F36AE">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体育器材室工作人员职责</w:t>
            </w:r>
          </w:p>
        </w:tc>
        <w:tc>
          <w:tcPr>
            <w:tcW w:w="1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8A73A">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体育部</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D5FF3">
            <w:pPr>
              <w:keepNext w:val="0"/>
              <w:keepLines w:val="0"/>
              <w:pageBreakBefore w:val="0"/>
              <w:widowControl/>
              <w:suppressLineNumbers w:val="0"/>
              <w:kinsoku/>
              <w:wordWrap/>
              <w:overflowPunct/>
              <w:bidi w:val="0"/>
              <w:spacing w:line="317" w:lineRule="auto"/>
              <w:ind w:left="0" w:leftChars="0" w:firstLine="480" w:firstLineChars="20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20</w:t>
            </w:r>
            <w:r>
              <w:rPr>
                <w:rFonts w:hint="eastAsia" w:ascii="仿宋" w:hAnsi="仿宋" w:cs="仿宋"/>
                <w:b w:val="0"/>
                <w:bCs w:val="0"/>
                <w:i w:val="0"/>
                <w:iCs w:val="0"/>
                <w:color w:val="auto"/>
                <w:kern w:val="0"/>
                <w:sz w:val="24"/>
                <w:szCs w:val="24"/>
                <w:u w:val="none"/>
                <w:lang w:val="en-US" w:eastAsia="zh-CN" w:bidi="ar"/>
              </w:rPr>
              <w:t>24</w:t>
            </w:r>
            <w:r>
              <w:rPr>
                <w:rFonts w:hint="eastAsia" w:ascii="仿宋" w:hAnsi="仿宋" w:eastAsia="仿宋" w:cs="仿宋"/>
                <w:b w:val="0"/>
                <w:bCs w:val="0"/>
                <w:i w:val="0"/>
                <w:iCs w:val="0"/>
                <w:color w:val="auto"/>
                <w:kern w:val="0"/>
                <w:sz w:val="24"/>
                <w:szCs w:val="24"/>
                <w:u w:val="none"/>
                <w:lang w:val="en-US" w:eastAsia="zh-CN" w:bidi="ar"/>
              </w:rPr>
              <w:t>.07</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A1F11">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p>
        </w:tc>
      </w:tr>
      <w:tr w14:paraId="1A5C6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10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D27972F">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二、实训实践教学管理类</w:t>
            </w:r>
          </w:p>
        </w:tc>
      </w:tr>
      <w:tr w14:paraId="0A190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9C543">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default"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11</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0A00A">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运动队训练管理制度</w:t>
            </w:r>
          </w:p>
        </w:tc>
        <w:tc>
          <w:tcPr>
            <w:tcW w:w="1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1B313">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体育部</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329E0">
            <w:pPr>
              <w:keepNext w:val="0"/>
              <w:keepLines w:val="0"/>
              <w:pageBreakBefore w:val="0"/>
              <w:widowControl/>
              <w:suppressLineNumbers w:val="0"/>
              <w:kinsoku/>
              <w:wordWrap/>
              <w:overflowPunct/>
              <w:bidi w:val="0"/>
              <w:spacing w:line="317" w:lineRule="auto"/>
              <w:ind w:left="0" w:leftChars="0" w:firstLine="480" w:firstLineChars="20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20</w:t>
            </w:r>
            <w:r>
              <w:rPr>
                <w:rFonts w:hint="eastAsia" w:ascii="仿宋" w:hAnsi="仿宋" w:cs="仿宋"/>
                <w:b w:val="0"/>
                <w:bCs w:val="0"/>
                <w:i w:val="0"/>
                <w:iCs w:val="0"/>
                <w:color w:val="auto"/>
                <w:kern w:val="0"/>
                <w:sz w:val="24"/>
                <w:szCs w:val="24"/>
                <w:u w:val="none"/>
                <w:lang w:val="en-US" w:eastAsia="zh-CN" w:bidi="ar"/>
              </w:rPr>
              <w:t>24</w:t>
            </w:r>
            <w:r>
              <w:rPr>
                <w:rFonts w:hint="eastAsia" w:ascii="仿宋" w:hAnsi="仿宋" w:eastAsia="仿宋" w:cs="仿宋"/>
                <w:b w:val="0"/>
                <w:bCs w:val="0"/>
                <w:i w:val="0"/>
                <w:iCs w:val="0"/>
                <w:color w:val="auto"/>
                <w:kern w:val="0"/>
                <w:sz w:val="24"/>
                <w:szCs w:val="24"/>
                <w:u w:val="none"/>
                <w:lang w:val="en-US" w:eastAsia="zh-CN" w:bidi="ar"/>
              </w:rPr>
              <w:t>.07</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59EDA">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p>
        </w:tc>
      </w:tr>
      <w:tr w14:paraId="5F801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9204F">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default"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12</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309E3">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课外辅导与锻炼规章制度</w:t>
            </w:r>
          </w:p>
        </w:tc>
        <w:tc>
          <w:tcPr>
            <w:tcW w:w="1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B386D">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体育部</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90D7B">
            <w:pPr>
              <w:keepNext w:val="0"/>
              <w:keepLines w:val="0"/>
              <w:pageBreakBefore w:val="0"/>
              <w:widowControl/>
              <w:suppressLineNumbers w:val="0"/>
              <w:kinsoku/>
              <w:wordWrap/>
              <w:overflowPunct/>
              <w:bidi w:val="0"/>
              <w:spacing w:line="317" w:lineRule="auto"/>
              <w:ind w:left="0" w:leftChars="0" w:firstLine="480" w:firstLineChars="20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20</w:t>
            </w:r>
            <w:r>
              <w:rPr>
                <w:rFonts w:hint="eastAsia" w:ascii="仿宋" w:hAnsi="仿宋" w:cs="仿宋"/>
                <w:b w:val="0"/>
                <w:bCs w:val="0"/>
                <w:i w:val="0"/>
                <w:iCs w:val="0"/>
                <w:color w:val="auto"/>
                <w:kern w:val="0"/>
                <w:sz w:val="24"/>
                <w:szCs w:val="24"/>
                <w:u w:val="none"/>
                <w:lang w:val="en-US" w:eastAsia="zh-CN" w:bidi="ar"/>
              </w:rPr>
              <w:t>24</w:t>
            </w:r>
            <w:r>
              <w:rPr>
                <w:rFonts w:hint="eastAsia" w:ascii="仿宋" w:hAnsi="仿宋" w:eastAsia="仿宋" w:cs="仿宋"/>
                <w:b w:val="0"/>
                <w:bCs w:val="0"/>
                <w:i w:val="0"/>
                <w:iCs w:val="0"/>
                <w:color w:val="auto"/>
                <w:kern w:val="0"/>
                <w:sz w:val="24"/>
                <w:szCs w:val="24"/>
                <w:u w:val="none"/>
                <w:lang w:val="en-US" w:eastAsia="zh-CN" w:bidi="ar"/>
              </w:rPr>
              <w:t>.07</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F6631">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p>
        </w:tc>
      </w:tr>
      <w:tr w14:paraId="4CE43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3A520">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default"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13</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C0A93">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形体训练房管理制度</w:t>
            </w:r>
          </w:p>
        </w:tc>
        <w:tc>
          <w:tcPr>
            <w:tcW w:w="1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A7233">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体育部</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C9BF1">
            <w:pPr>
              <w:keepNext w:val="0"/>
              <w:keepLines w:val="0"/>
              <w:pageBreakBefore w:val="0"/>
              <w:widowControl/>
              <w:suppressLineNumbers w:val="0"/>
              <w:kinsoku/>
              <w:wordWrap/>
              <w:overflowPunct/>
              <w:bidi w:val="0"/>
              <w:spacing w:line="317" w:lineRule="auto"/>
              <w:ind w:left="0" w:leftChars="0" w:firstLine="480" w:firstLineChars="20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20</w:t>
            </w:r>
            <w:r>
              <w:rPr>
                <w:rFonts w:hint="eastAsia" w:ascii="仿宋" w:hAnsi="仿宋" w:cs="仿宋"/>
                <w:b w:val="0"/>
                <w:bCs w:val="0"/>
                <w:i w:val="0"/>
                <w:iCs w:val="0"/>
                <w:color w:val="auto"/>
                <w:kern w:val="0"/>
                <w:sz w:val="24"/>
                <w:szCs w:val="24"/>
                <w:u w:val="none"/>
                <w:lang w:val="en-US" w:eastAsia="zh-CN" w:bidi="ar"/>
              </w:rPr>
              <w:t>24</w:t>
            </w:r>
            <w:r>
              <w:rPr>
                <w:rFonts w:hint="eastAsia" w:ascii="仿宋" w:hAnsi="仿宋" w:eastAsia="仿宋" w:cs="仿宋"/>
                <w:b w:val="0"/>
                <w:bCs w:val="0"/>
                <w:i w:val="0"/>
                <w:iCs w:val="0"/>
                <w:color w:val="auto"/>
                <w:kern w:val="0"/>
                <w:sz w:val="24"/>
                <w:szCs w:val="24"/>
                <w:u w:val="none"/>
                <w:lang w:val="en-US" w:eastAsia="zh-CN" w:bidi="ar"/>
              </w:rPr>
              <w:t>.07</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3549C">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p>
        </w:tc>
      </w:tr>
      <w:tr w14:paraId="7AAD6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09997">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default"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14</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2215A">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形体训练房操作流程</w:t>
            </w:r>
          </w:p>
        </w:tc>
        <w:tc>
          <w:tcPr>
            <w:tcW w:w="1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853D7">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体育部</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94BEE">
            <w:pPr>
              <w:keepNext w:val="0"/>
              <w:keepLines w:val="0"/>
              <w:pageBreakBefore w:val="0"/>
              <w:widowControl/>
              <w:suppressLineNumbers w:val="0"/>
              <w:kinsoku/>
              <w:wordWrap/>
              <w:overflowPunct/>
              <w:bidi w:val="0"/>
              <w:spacing w:line="317" w:lineRule="auto"/>
              <w:ind w:left="0" w:leftChars="0" w:firstLine="480" w:firstLineChars="20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20</w:t>
            </w:r>
            <w:r>
              <w:rPr>
                <w:rFonts w:hint="eastAsia" w:ascii="仿宋" w:hAnsi="仿宋" w:cs="仿宋"/>
                <w:b w:val="0"/>
                <w:bCs w:val="0"/>
                <w:i w:val="0"/>
                <w:iCs w:val="0"/>
                <w:color w:val="auto"/>
                <w:kern w:val="0"/>
                <w:sz w:val="24"/>
                <w:szCs w:val="24"/>
                <w:u w:val="none"/>
                <w:lang w:val="en-US" w:eastAsia="zh-CN" w:bidi="ar"/>
              </w:rPr>
              <w:t>24</w:t>
            </w:r>
            <w:r>
              <w:rPr>
                <w:rFonts w:hint="eastAsia" w:ascii="仿宋" w:hAnsi="仿宋" w:eastAsia="仿宋" w:cs="仿宋"/>
                <w:b w:val="0"/>
                <w:bCs w:val="0"/>
                <w:i w:val="0"/>
                <w:iCs w:val="0"/>
                <w:color w:val="auto"/>
                <w:kern w:val="0"/>
                <w:sz w:val="24"/>
                <w:szCs w:val="24"/>
                <w:u w:val="none"/>
                <w:lang w:val="en-US" w:eastAsia="zh-CN" w:bidi="ar"/>
              </w:rPr>
              <w:t>.07</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5ADAF">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p>
        </w:tc>
      </w:tr>
      <w:tr w14:paraId="2711D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C4169">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default"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15</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F4597">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乒乓球室管理规章制度</w:t>
            </w:r>
          </w:p>
        </w:tc>
        <w:tc>
          <w:tcPr>
            <w:tcW w:w="1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84A44">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体育部</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EF372">
            <w:pPr>
              <w:keepNext w:val="0"/>
              <w:keepLines w:val="0"/>
              <w:pageBreakBefore w:val="0"/>
              <w:widowControl/>
              <w:suppressLineNumbers w:val="0"/>
              <w:kinsoku/>
              <w:wordWrap/>
              <w:overflowPunct/>
              <w:bidi w:val="0"/>
              <w:spacing w:line="317" w:lineRule="auto"/>
              <w:ind w:left="0" w:leftChars="0" w:firstLine="480" w:firstLineChars="20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20</w:t>
            </w:r>
            <w:r>
              <w:rPr>
                <w:rFonts w:hint="eastAsia" w:ascii="仿宋" w:hAnsi="仿宋" w:cs="仿宋"/>
                <w:b w:val="0"/>
                <w:bCs w:val="0"/>
                <w:i w:val="0"/>
                <w:iCs w:val="0"/>
                <w:color w:val="auto"/>
                <w:kern w:val="0"/>
                <w:sz w:val="24"/>
                <w:szCs w:val="24"/>
                <w:u w:val="none"/>
                <w:lang w:val="en-US" w:eastAsia="zh-CN" w:bidi="ar"/>
              </w:rPr>
              <w:t>24</w:t>
            </w:r>
            <w:r>
              <w:rPr>
                <w:rFonts w:hint="eastAsia" w:ascii="仿宋" w:hAnsi="仿宋" w:eastAsia="仿宋" w:cs="仿宋"/>
                <w:b w:val="0"/>
                <w:bCs w:val="0"/>
                <w:i w:val="0"/>
                <w:iCs w:val="0"/>
                <w:color w:val="auto"/>
                <w:kern w:val="0"/>
                <w:sz w:val="24"/>
                <w:szCs w:val="24"/>
                <w:u w:val="none"/>
                <w:lang w:val="en-US" w:eastAsia="zh-CN" w:bidi="ar"/>
              </w:rPr>
              <w:t>.07</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269DE">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p>
        </w:tc>
      </w:tr>
      <w:tr w14:paraId="137EA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C8381">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default"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16</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B5658">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羽毛球室管理规章制度</w:t>
            </w:r>
          </w:p>
        </w:tc>
        <w:tc>
          <w:tcPr>
            <w:tcW w:w="1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25ACA">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体育部</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21008">
            <w:pPr>
              <w:keepNext w:val="0"/>
              <w:keepLines w:val="0"/>
              <w:pageBreakBefore w:val="0"/>
              <w:widowControl/>
              <w:suppressLineNumbers w:val="0"/>
              <w:kinsoku/>
              <w:wordWrap/>
              <w:overflowPunct/>
              <w:bidi w:val="0"/>
              <w:spacing w:line="317" w:lineRule="auto"/>
              <w:ind w:left="0" w:leftChars="0" w:firstLine="480" w:firstLineChars="20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20</w:t>
            </w:r>
            <w:r>
              <w:rPr>
                <w:rFonts w:hint="eastAsia" w:ascii="仿宋" w:hAnsi="仿宋" w:cs="仿宋"/>
                <w:b w:val="0"/>
                <w:bCs w:val="0"/>
                <w:i w:val="0"/>
                <w:iCs w:val="0"/>
                <w:color w:val="auto"/>
                <w:kern w:val="0"/>
                <w:sz w:val="24"/>
                <w:szCs w:val="24"/>
                <w:u w:val="none"/>
                <w:lang w:val="en-US" w:eastAsia="zh-CN" w:bidi="ar"/>
              </w:rPr>
              <w:t>24</w:t>
            </w:r>
            <w:r>
              <w:rPr>
                <w:rFonts w:hint="eastAsia" w:ascii="仿宋" w:hAnsi="仿宋" w:eastAsia="仿宋" w:cs="仿宋"/>
                <w:b w:val="0"/>
                <w:bCs w:val="0"/>
                <w:i w:val="0"/>
                <w:iCs w:val="0"/>
                <w:color w:val="auto"/>
                <w:kern w:val="0"/>
                <w:sz w:val="24"/>
                <w:szCs w:val="24"/>
                <w:u w:val="none"/>
                <w:lang w:val="en-US" w:eastAsia="zh-CN" w:bidi="ar"/>
              </w:rPr>
              <w:t>.07</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1B44A">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p>
        </w:tc>
      </w:tr>
      <w:tr w14:paraId="67A64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ABDA6">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default"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17</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84851">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场馆实训实践室使用管理制度</w:t>
            </w:r>
          </w:p>
        </w:tc>
        <w:tc>
          <w:tcPr>
            <w:tcW w:w="1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F3D55">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体育部</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39E09">
            <w:pPr>
              <w:keepNext w:val="0"/>
              <w:keepLines w:val="0"/>
              <w:pageBreakBefore w:val="0"/>
              <w:widowControl/>
              <w:suppressLineNumbers w:val="0"/>
              <w:kinsoku/>
              <w:wordWrap/>
              <w:overflowPunct/>
              <w:bidi w:val="0"/>
              <w:spacing w:line="317" w:lineRule="auto"/>
              <w:ind w:left="0" w:leftChars="0" w:firstLine="480" w:firstLineChars="20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20</w:t>
            </w:r>
            <w:r>
              <w:rPr>
                <w:rFonts w:hint="eastAsia" w:ascii="仿宋" w:hAnsi="仿宋" w:cs="仿宋"/>
                <w:b w:val="0"/>
                <w:bCs w:val="0"/>
                <w:i w:val="0"/>
                <w:iCs w:val="0"/>
                <w:color w:val="auto"/>
                <w:kern w:val="0"/>
                <w:sz w:val="24"/>
                <w:szCs w:val="24"/>
                <w:u w:val="none"/>
                <w:lang w:val="en-US" w:eastAsia="zh-CN" w:bidi="ar"/>
              </w:rPr>
              <w:t>24</w:t>
            </w:r>
            <w:r>
              <w:rPr>
                <w:rFonts w:hint="eastAsia" w:ascii="仿宋" w:hAnsi="仿宋" w:eastAsia="仿宋" w:cs="仿宋"/>
                <w:b w:val="0"/>
                <w:bCs w:val="0"/>
                <w:i w:val="0"/>
                <w:iCs w:val="0"/>
                <w:color w:val="auto"/>
                <w:kern w:val="0"/>
                <w:sz w:val="24"/>
                <w:szCs w:val="24"/>
                <w:u w:val="none"/>
                <w:lang w:val="en-US" w:eastAsia="zh-CN" w:bidi="ar"/>
              </w:rPr>
              <w:t>.07</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44B91">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p>
        </w:tc>
      </w:tr>
      <w:tr w14:paraId="40DEF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C14F4">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default"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18</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D4F9E">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场馆实训实践室卫生管理制度</w:t>
            </w:r>
          </w:p>
        </w:tc>
        <w:tc>
          <w:tcPr>
            <w:tcW w:w="1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2AB86">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体育部</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A3720">
            <w:pPr>
              <w:keepNext w:val="0"/>
              <w:keepLines w:val="0"/>
              <w:pageBreakBefore w:val="0"/>
              <w:widowControl/>
              <w:suppressLineNumbers w:val="0"/>
              <w:kinsoku/>
              <w:wordWrap/>
              <w:overflowPunct/>
              <w:bidi w:val="0"/>
              <w:spacing w:line="317" w:lineRule="auto"/>
              <w:ind w:left="0" w:leftChars="0" w:firstLine="480" w:firstLineChars="20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20</w:t>
            </w:r>
            <w:r>
              <w:rPr>
                <w:rFonts w:hint="eastAsia" w:ascii="仿宋" w:hAnsi="仿宋" w:cs="仿宋"/>
                <w:b w:val="0"/>
                <w:bCs w:val="0"/>
                <w:i w:val="0"/>
                <w:iCs w:val="0"/>
                <w:color w:val="auto"/>
                <w:kern w:val="0"/>
                <w:sz w:val="24"/>
                <w:szCs w:val="24"/>
                <w:u w:val="none"/>
                <w:lang w:val="en-US" w:eastAsia="zh-CN" w:bidi="ar"/>
              </w:rPr>
              <w:t>24</w:t>
            </w:r>
            <w:r>
              <w:rPr>
                <w:rFonts w:hint="eastAsia" w:ascii="仿宋" w:hAnsi="仿宋" w:eastAsia="仿宋" w:cs="仿宋"/>
                <w:b w:val="0"/>
                <w:bCs w:val="0"/>
                <w:i w:val="0"/>
                <w:iCs w:val="0"/>
                <w:color w:val="auto"/>
                <w:kern w:val="0"/>
                <w:sz w:val="24"/>
                <w:szCs w:val="24"/>
                <w:u w:val="none"/>
                <w:lang w:val="en-US" w:eastAsia="zh-CN" w:bidi="ar"/>
              </w:rPr>
              <w:t>.07</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52E32">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p>
        </w:tc>
      </w:tr>
      <w:tr w14:paraId="75C7F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A0394">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default"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19</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034DC">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体育器材借用使用管理制度</w:t>
            </w:r>
          </w:p>
        </w:tc>
        <w:tc>
          <w:tcPr>
            <w:tcW w:w="1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5F0B3">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体育部</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78E6A">
            <w:pPr>
              <w:keepNext w:val="0"/>
              <w:keepLines w:val="0"/>
              <w:pageBreakBefore w:val="0"/>
              <w:widowControl/>
              <w:suppressLineNumbers w:val="0"/>
              <w:kinsoku/>
              <w:wordWrap/>
              <w:overflowPunct/>
              <w:bidi w:val="0"/>
              <w:spacing w:line="317" w:lineRule="auto"/>
              <w:ind w:left="0" w:leftChars="0" w:firstLine="480" w:firstLineChars="20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20</w:t>
            </w:r>
            <w:r>
              <w:rPr>
                <w:rFonts w:hint="eastAsia" w:ascii="仿宋" w:hAnsi="仿宋" w:cs="仿宋"/>
                <w:b w:val="0"/>
                <w:bCs w:val="0"/>
                <w:i w:val="0"/>
                <w:iCs w:val="0"/>
                <w:color w:val="auto"/>
                <w:kern w:val="0"/>
                <w:sz w:val="24"/>
                <w:szCs w:val="24"/>
                <w:u w:val="none"/>
                <w:lang w:val="en-US" w:eastAsia="zh-CN" w:bidi="ar"/>
              </w:rPr>
              <w:t>24</w:t>
            </w:r>
            <w:r>
              <w:rPr>
                <w:rFonts w:hint="eastAsia" w:ascii="仿宋" w:hAnsi="仿宋" w:eastAsia="仿宋" w:cs="仿宋"/>
                <w:b w:val="0"/>
                <w:bCs w:val="0"/>
                <w:i w:val="0"/>
                <w:iCs w:val="0"/>
                <w:color w:val="auto"/>
                <w:kern w:val="0"/>
                <w:sz w:val="24"/>
                <w:szCs w:val="24"/>
                <w:u w:val="none"/>
                <w:lang w:val="en-US" w:eastAsia="zh-CN" w:bidi="ar"/>
              </w:rPr>
              <w:t>.07</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D43AD">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val="0"/>
                <w:bCs w:val="0"/>
                <w:i w:val="0"/>
                <w:iCs w:val="0"/>
                <w:color w:val="auto"/>
                <w:kern w:val="0"/>
                <w:sz w:val="24"/>
                <w:szCs w:val="24"/>
                <w:u w:val="none"/>
                <w:lang w:val="en-US" w:eastAsia="zh-CN" w:bidi="ar"/>
              </w:rPr>
            </w:pPr>
          </w:p>
        </w:tc>
      </w:tr>
    </w:tbl>
    <w:p w14:paraId="4BBACF34">
      <w:pPr>
        <w:ind w:left="0" w:leftChars="0" w:firstLine="0" w:firstLineChars="0"/>
        <w:rPr>
          <w:rFonts w:hint="eastAsia" w:ascii="宋体" w:hAnsi="宋体" w:eastAsia="宋体" w:cs="宋体"/>
          <w:b/>
          <w:bCs/>
          <w:color w:val="auto"/>
          <w:sz w:val="28"/>
          <w:szCs w:val="28"/>
          <w:lang w:val="en-US" w:eastAsia="zh-CN"/>
        </w:rPr>
      </w:pPr>
    </w:p>
    <w:p w14:paraId="2F75CCAB">
      <w:pPr>
        <w:pageBreakBefore w:val="0"/>
        <w:widowControl w:val="0"/>
        <w:kinsoku/>
        <w:wordWrap/>
        <w:overflowPunct/>
        <w:topLinePunct w:val="0"/>
        <w:autoSpaceDE w:val="0"/>
        <w:autoSpaceDN w:val="0"/>
        <w:bidi w:val="0"/>
        <w:adjustRightInd/>
        <w:snapToGrid/>
        <w:spacing w:line="500" w:lineRule="exact"/>
        <w:ind w:firstLine="560" w:firstLineChars="200"/>
        <w:jc w:val="both"/>
        <w:textAlignment w:val="auto"/>
        <w:rPr>
          <w:rFonts w:hint="eastAsia" w:ascii="宋体" w:hAnsi="宋体" w:eastAsia="宋体" w:cs="宋体"/>
          <w:color w:val="auto"/>
          <w:sz w:val="28"/>
          <w:szCs w:val="28"/>
          <w:lang w:val="en-US" w:eastAsia="zh-CN"/>
        </w:rPr>
      </w:pPr>
      <w:r>
        <w:rPr>
          <w:rFonts w:hint="eastAsia" w:ascii="仿宋" w:hAnsi="仿宋" w:eastAsia="仿宋" w:cs="仿宋"/>
          <w:color w:val="auto"/>
          <w:sz w:val="28"/>
          <w:szCs w:val="28"/>
          <w:lang w:val="en-US" w:eastAsia="zh-CN"/>
        </w:rPr>
        <w:t>综述以上，教学</w:t>
      </w:r>
      <w:r>
        <w:rPr>
          <w:rFonts w:hint="eastAsia" w:ascii="仿宋" w:hAnsi="仿宋" w:eastAsia="仿宋" w:cs="仿宋"/>
          <w:color w:val="auto"/>
          <w:sz w:val="28"/>
          <w:szCs w:val="28"/>
        </w:rPr>
        <w:t>管理组织健全，队伍结构合理，相对稳定，人员素质高，服务意识强，认真履行工作职责；教学档案齐备、规范。</w:t>
      </w:r>
    </w:p>
    <w:p w14:paraId="54EB3755">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138" w:name="_Toc15282"/>
      <w:bookmarkStart w:id="139" w:name="_Toc17403"/>
      <w:r>
        <w:rPr>
          <w:rFonts w:hint="eastAsia" w:ascii="仿宋" w:hAnsi="仿宋" w:eastAsia="仿宋" w:cs="仿宋"/>
          <w:b/>
          <w:bCs/>
          <w:color w:val="auto"/>
          <w:sz w:val="28"/>
          <w:szCs w:val="28"/>
          <w:lang w:val="en-US" w:eastAsia="zh-CN"/>
        </w:rPr>
        <w:t>6.1.2教学质量监控与保障</w:t>
      </w:r>
      <w:bookmarkEnd w:id="138"/>
      <w:bookmarkEnd w:id="139"/>
    </w:p>
    <w:p w14:paraId="42FE5850">
      <w:pPr>
        <w:pageBreakBefore w:val="0"/>
        <w:widowControl w:val="0"/>
        <w:kinsoku/>
        <w:wordWrap/>
        <w:overflowPunct/>
        <w:topLinePunct w:val="0"/>
        <w:autoSpaceDE w:val="0"/>
        <w:autoSpaceDN w:val="0"/>
        <w:bidi w:val="0"/>
        <w:adjustRightInd/>
        <w:snapToGrid/>
        <w:spacing w:line="500" w:lineRule="exact"/>
        <w:ind w:firstLine="560" w:firstLineChars="200"/>
        <w:jc w:val="both"/>
        <w:textAlignment w:val="auto"/>
        <w:rPr>
          <w:rFonts w:hint="eastAsia" w:ascii="仿宋" w:hAnsi="仿宋" w:eastAsia="仿宋" w:cs="仿宋"/>
          <w:b/>
          <w:bCs/>
          <w:color w:val="auto"/>
          <w:sz w:val="28"/>
          <w:szCs w:val="28"/>
          <w:lang w:val="en-US" w:eastAsia="zh-CN"/>
        </w:rPr>
      </w:pPr>
      <w:r>
        <w:rPr>
          <w:rFonts w:hint="eastAsia" w:ascii="仿宋" w:hAnsi="仿宋" w:eastAsia="仿宋" w:cs="仿宋"/>
          <w:color w:val="auto"/>
          <w:sz w:val="28"/>
          <w:szCs w:val="28"/>
          <w:lang w:val="en-US" w:eastAsia="zh-CN"/>
        </w:rPr>
        <w:t>体育部依据学校的制度建立</w:t>
      </w:r>
      <w:r>
        <w:rPr>
          <w:rFonts w:hint="eastAsia" w:ascii="仿宋" w:hAnsi="仿宋" w:eastAsia="仿宋" w:cs="仿宋"/>
          <w:color w:val="auto"/>
          <w:sz w:val="28"/>
          <w:szCs w:val="28"/>
        </w:rPr>
        <w:t>健全</w:t>
      </w:r>
      <w:r>
        <w:rPr>
          <w:rFonts w:hint="eastAsia" w:ascii="仿宋" w:hAnsi="仿宋" w:eastAsia="仿宋" w:cs="仿宋"/>
          <w:color w:val="auto"/>
          <w:sz w:val="28"/>
          <w:szCs w:val="28"/>
          <w:lang w:val="en-US" w:eastAsia="zh-CN"/>
        </w:rPr>
        <w:t>二级学院的教学监控与保障机制。依据学校制度制定教学质量监控与保障实施细则4个（见表6-2），涵盖内外部教学质量监控与评价制度。</w:t>
      </w:r>
      <w:r>
        <w:rPr>
          <w:rFonts w:hint="eastAsia" w:ascii="仿宋" w:hAnsi="仿宋" w:eastAsia="仿宋" w:cs="仿宋"/>
          <w:color w:val="auto"/>
          <w:sz w:val="28"/>
          <w:szCs w:val="28"/>
        </w:rPr>
        <w:t>建立了各监控体系对应的评价机制，专项评价主要依托院级教学评价，对各专业的教学工作进行全方位的评估与评价，同时对</w:t>
      </w:r>
      <w:r>
        <w:rPr>
          <w:rFonts w:hint="eastAsia" w:ascii="仿宋" w:hAnsi="仿宋" w:eastAsia="仿宋" w:cs="仿宋"/>
          <w:color w:val="auto"/>
          <w:sz w:val="28"/>
          <w:szCs w:val="28"/>
          <w:lang w:val="en-US" w:eastAsia="zh-CN"/>
        </w:rPr>
        <w:t>各</w:t>
      </w:r>
      <w:r>
        <w:rPr>
          <w:rFonts w:hint="eastAsia" w:ascii="仿宋" w:hAnsi="仿宋" w:eastAsia="仿宋" w:cs="仿宋"/>
          <w:color w:val="auto"/>
          <w:sz w:val="28"/>
          <w:szCs w:val="28"/>
        </w:rPr>
        <w:t>专业定期开展专业评估、自我评估及同行评价的评价机制。</w:t>
      </w:r>
    </w:p>
    <w:p w14:paraId="281BC118">
      <w:pPr>
        <w:pStyle w:val="7"/>
        <w:pageBreakBefore w:val="0"/>
        <w:kinsoku/>
        <w:wordWrap/>
        <w:overflowPunct/>
        <w:bidi w:val="0"/>
        <w:spacing w:line="317" w:lineRule="auto"/>
        <w:rPr>
          <w:rFonts w:hint="eastAsia" w:ascii="仿宋" w:hAnsi="仿宋" w:eastAsia="仿宋" w:cs="仿宋"/>
          <w:b/>
          <w:bCs/>
          <w:color w:val="auto"/>
          <w:lang w:val="en-US" w:eastAsia="zh-CN"/>
        </w:rPr>
      </w:pPr>
      <w:r>
        <w:rPr>
          <w:rFonts w:hint="eastAsia" w:ascii="仿宋" w:hAnsi="仿宋" w:eastAsia="仿宋" w:cs="仿宋"/>
          <w:b/>
          <w:bCs/>
          <w:color w:val="auto"/>
          <w:sz w:val="28"/>
          <w:szCs w:val="28"/>
          <w:lang w:val="en-US" w:eastAsia="zh-CN"/>
        </w:rPr>
        <w:t>表6-2 教学质量保障制度</w:t>
      </w:r>
    </w:p>
    <w:tbl>
      <w:tblPr>
        <w:tblStyle w:val="16"/>
        <w:tblW w:w="888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3"/>
        <w:gridCol w:w="4806"/>
        <w:gridCol w:w="1151"/>
        <w:gridCol w:w="1281"/>
        <w:gridCol w:w="810"/>
      </w:tblGrid>
      <w:tr w14:paraId="54C6C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D49FE">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序号</w:t>
            </w:r>
          </w:p>
        </w:tc>
        <w:tc>
          <w:tcPr>
            <w:tcW w:w="4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086CE">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sz w:val="22"/>
                <w:szCs w:val="22"/>
                <w:u w:val="none"/>
                <w:lang w:val="en-US" w:eastAsia="zh-CN"/>
              </w:rPr>
              <w:t>文件名称</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3B7E8">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sz w:val="22"/>
                <w:szCs w:val="22"/>
                <w:u w:val="none"/>
                <w:lang w:val="en-US" w:eastAsia="zh-CN"/>
              </w:rPr>
              <w:t>发布单位</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47ACF">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sz w:val="22"/>
                <w:szCs w:val="22"/>
                <w:u w:val="none"/>
                <w:lang w:val="en-US" w:eastAsia="zh-CN"/>
              </w:rPr>
              <w:t>发布时间</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90FDA">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sz w:val="22"/>
                <w:szCs w:val="22"/>
                <w:u w:val="none"/>
                <w:lang w:val="en-US" w:eastAsia="zh-CN"/>
              </w:rPr>
              <w:t>备注</w:t>
            </w:r>
          </w:p>
        </w:tc>
      </w:tr>
      <w:tr w14:paraId="7336F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E4C78">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c>
          <w:tcPr>
            <w:tcW w:w="4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A7173">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湖南女子学院体育部师生评价管理制度</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71B29">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体育部</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1DE1D">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2021.9</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BA237">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p>
        </w:tc>
      </w:tr>
      <w:tr w14:paraId="1A7E4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3B1D5">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w:t>
            </w:r>
          </w:p>
        </w:tc>
        <w:tc>
          <w:tcPr>
            <w:tcW w:w="4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61F5C">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湖南女子学院体育部质量控制管理制度</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C6F47">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体育部</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C3094">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2022.07</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5BA56">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p>
        </w:tc>
      </w:tr>
      <w:tr w14:paraId="6C0A5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CF4B7">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w:t>
            </w:r>
          </w:p>
        </w:tc>
        <w:tc>
          <w:tcPr>
            <w:tcW w:w="4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8F254">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体育部日常教学巡查制度</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75E12">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体育部</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8FF20">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2022.07 </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63440">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p>
        </w:tc>
      </w:tr>
      <w:tr w14:paraId="0AF2A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4C45D">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w:t>
            </w:r>
          </w:p>
        </w:tc>
        <w:tc>
          <w:tcPr>
            <w:tcW w:w="4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BA48C">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教研室课程考核评价标准与实施细则</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C962A">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体育部</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2C946">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202</w:t>
            </w:r>
            <w:r>
              <w:rPr>
                <w:rFonts w:hint="eastAsia" w:ascii="仿宋" w:hAnsi="仿宋" w:cs="仿宋"/>
                <w:i w:val="0"/>
                <w:iCs w:val="0"/>
                <w:color w:val="auto"/>
                <w:kern w:val="0"/>
                <w:sz w:val="24"/>
                <w:szCs w:val="24"/>
                <w:u w:val="none"/>
                <w:lang w:val="en-US" w:eastAsia="zh-CN" w:bidi="ar"/>
              </w:rPr>
              <w:t>5</w:t>
            </w:r>
            <w:r>
              <w:rPr>
                <w:rFonts w:hint="eastAsia" w:ascii="仿宋" w:hAnsi="仿宋" w:eastAsia="仿宋" w:cs="仿宋"/>
                <w:i w:val="0"/>
                <w:iCs w:val="0"/>
                <w:color w:val="auto"/>
                <w:kern w:val="0"/>
                <w:sz w:val="24"/>
                <w:szCs w:val="24"/>
                <w:u w:val="none"/>
                <w:lang w:val="en-US" w:eastAsia="zh-CN" w:bidi="ar"/>
              </w:rPr>
              <w:t>.0</w:t>
            </w:r>
            <w:r>
              <w:rPr>
                <w:rFonts w:hint="eastAsia" w:ascii="仿宋" w:hAnsi="仿宋" w:cs="仿宋"/>
                <w:i w:val="0"/>
                <w:iCs w:val="0"/>
                <w:color w:val="auto"/>
                <w:kern w:val="0"/>
                <w:sz w:val="24"/>
                <w:szCs w:val="24"/>
                <w:u w:val="none"/>
                <w:lang w:val="en-US" w:eastAsia="zh-CN" w:bidi="ar"/>
              </w:rPr>
              <w:t>3</w:t>
            </w:r>
            <w:r>
              <w:rPr>
                <w:rFonts w:hint="eastAsia" w:ascii="仿宋" w:hAnsi="仿宋" w:eastAsia="仿宋" w:cs="仿宋"/>
                <w:i w:val="0"/>
                <w:iCs w:val="0"/>
                <w:color w:val="auto"/>
                <w:kern w:val="0"/>
                <w:sz w:val="24"/>
                <w:szCs w:val="24"/>
                <w:u w:val="none"/>
                <w:lang w:val="en-US" w:eastAsia="zh-CN" w:bidi="ar"/>
              </w:rPr>
              <w:t xml:space="preserve"> </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2BCE9">
            <w:pPr>
              <w:keepNext w:val="0"/>
              <w:keepLines w:val="0"/>
              <w:pageBreakBefore w:val="0"/>
              <w:widowControl/>
              <w:suppressLineNumbers w:val="0"/>
              <w:kinsoku/>
              <w:wordWrap/>
              <w:overflowPunct/>
              <w:bidi w:val="0"/>
              <w:spacing w:line="317" w:lineRule="auto"/>
              <w:ind w:left="0" w:leftChars="0"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p>
        </w:tc>
      </w:tr>
    </w:tbl>
    <w:p w14:paraId="44E25DFC">
      <w:pPr>
        <w:bidi w:val="0"/>
        <w:rPr>
          <w:rFonts w:hint="eastAsia"/>
        </w:rPr>
      </w:pPr>
    </w:p>
    <w:p w14:paraId="5366EE16">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rPr>
      </w:pPr>
      <w:r>
        <w:rPr>
          <w:rFonts w:hint="eastAsia" w:ascii="仿宋" w:hAnsi="仿宋" w:eastAsia="仿宋" w:cs="仿宋"/>
          <w:color w:val="auto"/>
          <w:sz w:val="28"/>
          <w:szCs w:val="28"/>
          <w:lang w:val="en-US" w:eastAsia="zh-CN"/>
        </w:rPr>
        <w:t>体育部依据制度建立了体育部教学质量监控与保障负责机构，由体育部主任、副主任、教务办、教学督导、各教研室主任组成。主任为教学质量监控与保障的第一责任人，教学副主任为直接责任人。体育部班子成员每天轮流进行日常教学巡查，教务办负责收集督导与教学信息员反馈的意见并报教学副主任，副主任制定意见反馈督改的具体方案，由教研室具体组织实施，意见反馈至教师本人，同时督促教研室跟进整改，对于问题较为明显的教学质量问题，由院级督导专项集中跟踪改进并报学院，相关材料进行存档。</w:t>
      </w:r>
    </w:p>
    <w:p w14:paraId="2CA72A46">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宋体" w:hAnsi="宋体" w:eastAsia="宋体" w:cs="宋体"/>
          <w:color w:val="auto"/>
          <w:sz w:val="28"/>
          <w:szCs w:val="28"/>
          <w:lang w:val="en-US" w:eastAsia="zh-CN"/>
        </w:rPr>
      </w:pPr>
      <w:r>
        <w:rPr>
          <w:rFonts w:hint="eastAsia" w:ascii="仿宋" w:hAnsi="仿宋" w:eastAsia="仿宋" w:cs="仿宋"/>
          <w:color w:val="auto"/>
          <w:sz w:val="28"/>
          <w:szCs w:val="28"/>
          <w:lang w:val="en-US" w:eastAsia="zh-CN"/>
        </w:rPr>
        <w:t>体育部认真组织开展各项教学评估、评价工作。近两年组织各教研室教师对照学校与部门教学质量标准对教学材料进行了春季学期与秋季学期的集中教学整改、审核评估教学整改、教学大纲修订整改、实训实习材料整改，对整改的材料进行教研室、学院层面的检查，检查的相关信息及时反馈到教研室及教师本人，并采取“回头看”的方式将发现的问题整改到位。</w:t>
      </w:r>
    </w:p>
    <w:p w14:paraId="53642B69">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140" w:name="_Toc1769"/>
      <w:bookmarkStart w:id="141" w:name="_Toc23866"/>
      <w:r>
        <w:rPr>
          <w:rFonts w:hint="eastAsia" w:ascii="仿宋" w:hAnsi="仿宋" w:eastAsia="仿宋" w:cs="仿宋"/>
          <w:b/>
          <w:bCs/>
          <w:color w:val="auto"/>
          <w:sz w:val="28"/>
          <w:szCs w:val="28"/>
          <w:lang w:val="en-US" w:eastAsia="zh-CN"/>
        </w:rPr>
        <w:t>6.1.3学业质量评价与方案</w:t>
      </w:r>
      <w:bookmarkEnd w:id="140"/>
      <w:bookmarkEnd w:id="141"/>
    </w:p>
    <w:p w14:paraId="0E164F79">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体育部为了加强学风教风建设，以考风促学风教风，一方面专门出台了《湖南女子学院体育部考核与成绩管理实施细则》，要求各教研室严格规范各课程考试考查内容、考查标准、考查细则在内的考查环节提出了具体的要求和标准。为了加强考核考查管理，体育部采取了如下措施：</w:t>
      </w:r>
    </w:p>
    <w:p w14:paraId="182E5036">
      <w:pPr>
        <w:keepNext w:val="0"/>
        <w:keepLines w:val="0"/>
        <w:pageBreakBefore w:val="0"/>
        <w:widowControl w:val="0"/>
        <w:numPr>
          <w:ilvl w:val="0"/>
          <w:numId w:val="3"/>
        </w:numPr>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根据学校要求和人才培养</w:t>
      </w:r>
      <w:r>
        <w:rPr>
          <w:rFonts w:hint="eastAsia" w:ascii="仿宋" w:hAnsi="仿宋" w:cs="仿宋"/>
          <w:color w:val="auto"/>
          <w:sz w:val="28"/>
          <w:szCs w:val="28"/>
          <w:lang w:val="en-US" w:eastAsia="zh-CN"/>
        </w:rPr>
        <w:t>方案</w:t>
      </w:r>
      <w:r>
        <w:rPr>
          <w:rFonts w:hint="eastAsia" w:ascii="仿宋" w:hAnsi="仿宋" w:eastAsia="仿宋" w:cs="仿宋"/>
          <w:color w:val="auto"/>
          <w:sz w:val="28"/>
          <w:szCs w:val="28"/>
          <w:lang w:val="en-US" w:eastAsia="zh-CN"/>
        </w:rPr>
        <w:t>，构建各教学环节（课堂教学、课外锻炼、阳光体育、竞赛活动等）的质量标准对学生进行学业综合评价（评价标准见表6-3）。</w:t>
      </w:r>
    </w:p>
    <w:p w14:paraId="1ED3BF5D">
      <w:pPr>
        <w:keepNext w:val="0"/>
        <w:keepLines w:val="0"/>
        <w:pageBreakBefore w:val="0"/>
        <w:widowControl w:val="0"/>
        <w:numPr>
          <w:ilvl w:val="0"/>
          <w:numId w:val="0"/>
        </w:numPr>
        <w:kinsoku/>
        <w:wordWrap/>
        <w:overflowPunct/>
        <w:topLinePunct w:val="0"/>
        <w:autoSpaceDE w:val="0"/>
        <w:autoSpaceDN w:val="0"/>
        <w:bidi w:val="0"/>
        <w:adjustRightInd/>
        <w:snapToGrid/>
        <w:spacing w:line="317" w:lineRule="auto"/>
        <w:ind w:firstLine="2240" w:firstLineChars="8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表6-3 每学期成绩评定方法考核内容</w:t>
      </w:r>
      <w:r>
        <w:rPr>
          <w:rFonts w:hint="eastAsia" w:ascii="仿宋" w:hAnsi="仿宋" w:eastAsia="仿宋" w:cs="仿宋"/>
          <w:color w:val="auto"/>
          <w:sz w:val="28"/>
          <w:szCs w:val="28"/>
          <w:lang w:val="en-US" w:eastAsia="zh-CN"/>
        </w:rPr>
        <w:tab/>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8"/>
        <w:gridCol w:w="1350"/>
        <w:gridCol w:w="2187"/>
        <w:gridCol w:w="1732"/>
        <w:gridCol w:w="1432"/>
      </w:tblGrid>
      <w:tr w14:paraId="0E6AB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648" w:type="dxa"/>
            <w:noWrap w:val="0"/>
            <w:vAlign w:val="center"/>
          </w:tcPr>
          <w:p w14:paraId="71EB2D94">
            <w:pPr>
              <w:keepNext w:val="0"/>
              <w:keepLines w:val="0"/>
              <w:pageBreakBefore w:val="0"/>
              <w:widowControl w:val="0"/>
              <w:kinsoku/>
              <w:wordWrap/>
              <w:overflowPunct/>
              <w:topLinePunct w:val="0"/>
              <w:autoSpaceDE w:val="0"/>
              <w:autoSpaceDN w:val="0"/>
              <w:bidi w:val="0"/>
              <w:adjustRightInd/>
              <w:snapToGrid/>
              <w:spacing w:line="320" w:lineRule="exact"/>
              <w:ind w:left="0" w:leftChars="0" w:firstLine="0" w:firstLineChars="0"/>
              <w:jc w:val="center"/>
              <w:textAlignment w:val="auto"/>
              <w:rPr>
                <w:rFonts w:hint="eastAsia" w:ascii="仿宋" w:hAnsi="仿宋" w:eastAsia="仿宋" w:cs="仿宋"/>
                <w:bCs/>
                <w:color w:val="auto"/>
                <w:sz w:val="24"/>
                <w:szCs w:val="22"/>
              </w:rPr>
            </w:pPr>
            <w:r>
              <w:rPr>
                <w:rFonts w:hint="eastAsia" w:ascii="仿宋" w:hAnsi="仿宋" w:eastAsia="仿宋" w:cs="仿宋"/>
                <w:bCs/>
                <w:color w:val="auto"/>
                <w:sz w:val="24"/>
                <w:szCs w:val="22"/>
              </w:rPr>
              <w:t>考核内容</w:t>
            </w:r>
          </w:p>
        </w:tc>
        <w:tc>
          <w:tcPr>
            <w:tcW w:w="1350" w:type="dxa"/>
            <w:noWrap w:val="0"/>
            <w:vAlign w:val="center"/>
          </w:tcPr>
          <w:p w14:paraId="15C0226A">
            <w:pPr>
              <w:keepNext w:val="0"/>
              <w:keepLines w:val="0"/>
              <w:pageBreakBefore w:val="0"/>
              <w:widowControl w:val="0"/>
              <w:kinsoku/>
              <w:wordWrap/>
              <w:overflowPunct/>
              <w:topLinePunct w:val="0"/>
              <w:autoSpaceDE w:val="0"/>
              <w:autoSpaceDN w:val="0"/>
              <w:bidi w:val="0"/>
              <w:adjustRightInd/>
              <w:snapToGrid/>
              <w:spacing w:line="320" w:lineRule="exact"/>
              <w:ind w:left="0" w:leftChars="0" w:firstLine="0" w:firstLineChars="0"/>
              <w:jc w:val="center"/>
              <w:textAlignment w:val="auto"/>
              <w:rPr>
                <w:rFonts w:hint="eastAsia" w:ascii="仿宋" w:hAnsi="仿宋" w:eastAsia="仿宋" w:cs="仿宋"/>
                <w:bCs/>
                <w:color w:val="auto"/>
                <w:sz w:val="24"/>
                <w:szCs w:val="22"/>
              </w:rPr>
            </w:pPr>
            <w:r>
              <w:rPr>
                <w:rFonts w:hint="eastAsia" w:ascii="仿宋" w:hAnsi="仿宋" w:eastAsia="仿宋" w:cs="仿宋"/>
                <w:bCs/>
                <w:color w:val="auto"/>
                <w:sz w:val="24"/>
                <w:szCs w:val="22"/>
              </w:rPr>
              <w:t>体质测试</w:t>
            </w:r>
          </w:p>
        </w:tc>
        <w:tc>
          <w:tcPr>
            <w:tcW w:w="2187" w:type="dxa"/>
            <w:noWrap w:val="0"/>
            <w:vAlign w:val="center"/>
          </w:tcPr>
          <w:p w14:paraId="70FE2C57">
            <w:pPr>
              <w:keepNext w:val="0"/>
              <w:keepLines w:val="0"/>
              <w:pageBreakBefore w:val="0"/>
              <w:widowControl w:val="0"/>
              <w:kinsoku/>
              <w:wordWrap/>
              <w:overflowPunct/>
              <w:topLinePunct w:val="0"/>
              <w:autoSpaceDE w:val="0"/>
              <w:autoSpaceDN w:val="0"/>
              <w:bidi w:val="0"/>
              <w:adjustRightInd/>
              <w:snapToGrid/>
              <w:spacing w:line="320" w:lineRule="exact"/>
              <w:ind w:left="0" w:leftChars="0" w:firstLine="0" w:firstLineChars="0"/>
              <w:jc w:val="center"/>
              <w:textAlignment w:val="auto"/>
              <w:rPr>
                <w:rFonts w:hint="eastAsia" w:ascii="仿宋" w:hAnsi="仿宋" w:eastAsia="仿宋" w:cs="仿宋"/>
                <w:bCs/>
                <w:color w:val="auto"/>
                <w:sz w:val="24"/>
                <w:szCs w:val="22"/>
              </w:rPr>
            </w:pPr>
            <w:r>
              <w:rPr>
                <w:rFonts w:hint="eastAsia" w:ascii="仿宋" w:hAnsi="仿宋" w:eastAsia="仿宋" w:cs="仿宋"/>
                <w:bCs/>
                <w:color w:val="auto"/>
                <w:sz w:val="24"/>
                <w:szCs w:val="22"/>
              </w:rPr>
              <w:t>运动能力与技术</w:t>
            </w:r>
          </w:p>
        </w:tc>
        <w:tc>
          <w:tcPr>
            <w:tcW w:w="1732" w:type="dxa"/>
            <w:noWrap w:val="0"/>
            <w:vAlign w:val="center"/>
          </w:tcPr>
          <w:p w14:paraId="407B4A88">
            <w:pPr>
              <w:keepNext w:val="0"/>
              <w:keepLines w:val="0"/>
              <w:pageBreakBefore w:val="0"/>
              <w:widowControl w:val="0"/>
              <w:kinsoku/>
              <w:wordWrap/>
              <w:overflowPunct/>
              <w:topLinePunct w:val="0"/>
              <w:autoSpaceDE w:val="0"/>
              <w:autoSpaceDN w:val="0"/>
              <w:bidi w:val="0"/>
              <w:adjustRightInd/>
              <w:snapToGrid/>
              <w:spacing w:line="320" w:lineRule="exact"/>
              <w:ind w:left="0" w:leftChars="0" w:firstLine="0" w:firstLineChars="0"/>
              <w:jc w:val="center"/>
              <w:textAlignment w:val="auto"/>
              <w:rPr>
                <w:rFonts w:hint="eastAsia" w:ascii="仿宋" w:hAnsi="仿宋" w:eastAsia="仿宋" w:cs="仿宋"/>
                <w:bCs/>
                <w:color w:val="auto"/>
                <w:sz w:val="24"/>
                <w:szCs w:val="22"/>
              </w:rPr>
            </w:pPr>
            <w:r>
              <w:rPr>
                <w:rFonts w:hint="eastAsia" w:ascii="仿宋" w:hAnsi="仿宋" w:eastAsia="仿宋" w:cs="仿宋"/>
                <w:color w:val="auto"/>
                <w:sz w:val="24"/>
                <w:szCs w:val="24"/>
                <w:lang w:val="en-US" w:eastAsia="zh-CN"/>
              </w:rPr>
              <w:t>阳光健康跑</w:t>
            </w:r>
          </w:p>
        </w:tc>
        <w:tc>
          <w:tcPr>
            <w:tcW w:w="1432" w:type="dxa"/>
            <w:noWrap w:val="0"/>
            <w:vAlign w:val="center"/>
          </w:tcPr>
          <w:p w14:paraId="009010D2">
            <w:pPr>
              <w:keepNext w:val="0"/>
              <w:keepLines w:val="0"/>
              <w:pageBreakBefore w:val="0"/>
              <w:widowControl w:val="0"/>
              <w:kinsoku/>
              <w:wordWrap/>
              <w:overflowPunct/>
              <w:topLinePunct w:val="0"/>
              <w:autoSpaceDE w:val="0"/>
              <w:autoSpaceDN w:val="0"/>
              <w:bidi w:val="0"/>
              <w:adjustRightInd/>
              <w:snapToGrid/>
              <w:spacing w:line="320" w:lineRule="exact"/>
              <w:ind w:left="0" w:leftChars="0" w:firstLine="0" w:firstLineChars="0"/>
              <w:jc w:val="center"/>
              <w:textAlignment w:val="auto"/>
              <w:rPr>
                <w:rFonts w:hint="eastAsia" w:ascii="仿宋" w:hAnsi="仿宋" w:eastAsia="仿宋" w:cs="仿宋"/>
                <w:bCs/>
                <w:color w:val="auto"/>
                <w:sz w:val="24"/>
                <w:szCs w:val="22"/>
              </w:rPr>
            </w:pPr>
            <w:r>
              <w:rPr>
                <w:rFonts w:hint="eastAsia" w:ascii="仿宋" w:hAnsi="仿宋" w:eastAsia="仿宋" w:cs="仿宋"/>
                <w:bCs/>
                <w:color w:val="auto"/>
                <w:sz w:val="24"/>
                <w:szCs w:val="22"/>
              </w:rPr>
              <w:t>平时成绩</w:t>
            </w:r>
          </w:p>
        </w:tc>
      </w:tr>
      <w:tr w14:paraId="197D4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648" w:type="dxa"/>
            <w:noWrap w:val="0"/>
            <w:vAlign w:val="center"/>
          </w:tcPr>
          <w:p w14:paraId="780F76D3">
            <w:pPr>
              <w:keepNext w:val="0"/>
              <w:keepLines w:val="0"/>
              <w:pageBreakBefore w:val="0"/>
              <w:widowControl w:val="0"/>
              <w:kinsoku/>
              <w:wordWrap/>
              <w:overflowPunct/>
              <w:topLinePunct w:val="0"/>
              <w:autoSpaceDE w:val="0"/>
              <w:autoSpaceDN w:val="0"/>
              <w:bidi w:val="0"/>
              <w:adjustRightInd/>
              <w:snapToGrid/>
              <w:spacing w:line="320" w:lineRule="exact"/>
              <w:ind w:left="0" w:leftChars="0" w:firstLine="0" w:firstLineChars="0"/>
              <w:jc w:val="center"/>
              <w:textAlignment w:val="auto"/>
              <w:rPr>
                <w:rFonts w:hint="eastAsia" w:ascii="仿宋" w:hAnsi="仿宋" w:eastAsia="仿宋" w:cs="仿宋"/>
                <w:bCs/>
                <w:color w:val="auto"/>
                <w:sz w:val="24"/>
                <w:szCs w:val="22"/>
              </w:rPr>
            </w:pPr>
            <w:r>
              <w:rPr>
                <w:rFonts w:hint="eastAsia" w:ascii="仿宋" w:hAnsi="仿宋" w:eastAsia="仿宋" w:cs="仿宋"/>
                <w:bCs/>
                <w:color w:val="auto"/>
                <w:sz w:val="24"/>
                <w:szCs w:val="22"/>
              </w:rPr>
              <w:t>百分比（%）</w:t>
            </w:r>
          </w:p>
        </w:tc>
        <w:tc>
          <w:tcPr>
            <w:tcW w:w="1350" w:type="dxa"/>
            <w:noWrap w:val="0"/>
            <w:vAlign w:val="center"/>
          </w:tcPr>
          <w:p w14:paraId="59D9A54C">
            <w:pPr>
              <w:keepNext w:val="0"/>
              <w:keepLines w:val="0"/>
              <w:pageBreakBefore w:val="0"/>
              <w:widowControl w:val="0"/>
              <w:kinsoku/>
              <w:wordWrap/>
              <w:overflowPunct/>
              <w:topLinePunct w:val="0"/>
              <w:autoSpaceDE w:val="0"/>
              <w:autoSpaceDN w:val="0"/>
              <w:bidi w:val="0"/>
              <w:adjustRightInd/>
              <w:snapToGrid/>
              <w:spacing w:line="320" w:lineRule="exact"/>
              <w:ind w:left="0" w:leftChars="0" w:firstLine="0" w:firstLineChars="0"/>
              <w:jc w:val="center"/>
              <w:textAlignment w:val="auto"/>
              <w:rPr>
                <w:rFonts w:hint="eastAsia" w:ascii="仿宋" w:hAnsi="仿宋" w:eastAsia="仿宋" w:cs="仿宋"/>
                <w:bCs/>
                <w:color w:val="auto"/>
                <w:sz w:val="24"/>
                <w:szCs w:val="22"/>
              </w:rPr>
            </w:pPr>
            <w:r>
              <w:rPr>
                <w:rFonts w:hint="eastAsia" w:ascii="仿宋" w:hAnsi="仿宋" w:cs="仿宋"/>
                <w:bCs/>
                <w:color w:val="auto"/>
                <w:sz w:val="24"/>
                <w:szCs w:val="22"/>
                <w:lang w:val="en-US" w:eastAsia="zh-CN"/>
              </w:rPr>
              <w:t>2</w:t>
            </w:r>
            <w:r>
              <w:rPr>
                <w:rFonts w:hint="eastAsia" w:ascii="仿宋" w:hAnsi="仿宋" w:eastAsia="仿宋" w:cs="仿宋"/>
                <w:bCs/>
                <w:color w:val="auto"/>
                <w:sz w:val="24"/>
                <w:szCs w:val="22"/>
              </w:rPr>
              <w:t>0（％）</w:t>
            </w:r>
          </w:p>
        </w:tc>
        <w:tc>
          <w:tcPr>
            <w:tcW w:w="2187" w:type="dxa"/>
            <w:noWrap w:val="0"/>
            <w:vAlign w:val="center"/>
          </w:tcPr>
          <w:p w14:paraId="6C21DA1A">
            <w:pPr>
              <w:keepNext w:val="0"/>
              <w:keepLines w:val="0"/>
              <w:pageBreakBefore w:val="0"/>
              <w:widowControl w:val="0"/>
              <w:kinsoku/>
              <w:wordWrap/>
              <w:overflowPunct/>
              <w:topLinePunct w:val="0"/>
              <w:autoSpaceDE w:val="0"/>
              <w:autoSpaceDN w:val="0"/>
              <w:bidi w:val="0"/>
              <w:adjustRightInd/>
              <w:snapToGrid/>
              <w:spacing w:line="320" w:lineRule="exact"/>
              <w:ind w:left="0" w:firstLine="0" w:firstLineChars="0"/>
              <w:jc w:val="center"/>
              <w:textAlignment w:val="auto"/>
              <w:rPr>
                <w:rFonts w:hint="eastAsia" w:ascii="仿宋" w:hAnsi="仿宋" w:eastAsia="仿宋" w:cs="仿宋"/>
                <w:bCs/>
                <w:color w:val="auto"/>
                <w:sz w:val="24"/>
                <w:szCs w:val="22"/>
              </w:rPr>
            </w:pPr>
            <w:r>
              <w:rPr>
                <w:rFonts w:hint="eastAsia" w:ascii="仿宋" w:hAnsi="仿宋" w:cs="仿宋"/>
                <w:bCs/>
                <w:color w:val="auto"/>
                <w:sz w:val="24"/>
                <w:szCs w:val="22"/>
                <w:lang w:val="en-US" w:eastAsia="zh-CN"/>
              </w:rPr>
              <w:t>5</w:t>
            </w:r>
            <w:r>
              <w:rPr>
                <w:rFonts w:hint="eastAsia" w:ascii="仿宋" w:hAnsi="仿宋" w:eastAsia="仿宋" w:cs="仿宋"/>
                <w:bCs/>
                <w:color w:val="auto"/>
                <w:sz w:val="24"/>
                <w:szCs w:val="22"/>
              </w:rPr>
              <w:t>0（％）</w:t>
            </w:r>
          </w:p>
        </w:tc>
        <w:tc>
          <w:tcPr>
            <w:tcW w:w="1732" w:type="dxa"/>
            <w:noWrap w:val="0"/>
            <w:vAlign w:val="center"/>
          </w:tcPr>
          <w:p w14:paraId="6F1FEFC0">
            <w:pPr>
              <w:keepNext w:val="0"/>
              <w:keepLines w:val="0"/>
              <w:pageBreakBefore w:val="0"/>
              <w:widowControl w:val="0"/>
              <w:kinsoku/>
              <w:wordWrap/>
              <w:overflowPunct/>
              <w:topLinePunct w:val="0"/>
              <w:autoSpaceDE w:val="0"/>
              <w:autoSpaceDN w:val="0"/>
              <w:bidi w:val="0"/>
              <w:adjustRightInd/>
              <w:snapToGrid/>
              <w:spacing w:line="320" w:lineRule="exact"/>
              <w:ind w:left="0" w:firstLine="0" w:firstLineChars="0"/>
              <w:jc w:val="center"/>
              <w:textAlignment w:val="auto"/>
              <w:rPr>
                <w:rFonts w:hint="eastAsia" w:ascii="仿宋" w:hAnsi="仿宋" w:eastAsia="仿宋" w:cs="仿宋"/>
                <w:bCs/>
                <w:color w:val="auto"/>
                <w:sz w:val="24"/>
                <w:szCs w:val="22"/>
              </w:rPr>
            </w:pPr>
            <w:r>
              <w:rPr>
                <w:rFonts w:hint="eastAsia" w:ascii="仿宋" w:hAnsi="仿宋" w:cs="仿宋"/>
                <w:bCs/>
                <w:color w:val="auto"/>
                <w:sz w:val="24"/>
                <w:szCs w:val="22"/>
                <w:lang w:val="en-US" w:eastAsia="zh-CN"/>
              </w:rPr>
              <w:t>2</w:t>
            </w:r>
            <w:r>
              <w:rPr>
                <w:rFonts w:hint="eastAsia" w:ascii="仿宋" w:hAnsi="仿宋" w:eastAsia="仿宋" w:cs="仿宋"/>
                <w:bCs/>
                <w:color w:val="auto"/>
                <w:sz w:val="24"/>
                <w:szCs w:val="22"/>
              </w:rPr>
              <w:t>0（％）</w:t>
            </w:r>
          </w:p>
        </w:tc>
        <w:tc>
          <w:tcPr>
            <w:tcW w:w="1432" w:type="dxa"/>
            <w:noWrap w:val="0"/>
            <w:vAlign w:val="center"/>
          </w:tcPr>
          <w:p w14:paraId="31B00EED">
            <w:pPr>
              <w:keepNext w:val="0"/>
              <w:keepLines w:val="0"/>
              <w:pageBreakBefore w:val="0"/>
              <w:widowControl w:val="0"/>
              <w:kinsoku/>
              <w:wordWrap/>
              <w:overflowPunct/>
              <w:topLinePunct w:val="0"/>
              <w:autoSpaceDE w:val="0"/>
              <w:autoSpaceDN w:val="0"/>
              <w:bidi w:val="0"/>
              <w:adjustRightInd/>
              <w:snapToGrid/>
              <w:spacing w:line="320" w:lineRule="exact"/>
              <w:ind w:left="0" w:leftChars="0" w:firstLine="0" w:firstLineChars="0"/>
              <w:jc w:val="center"/>
              <w:textAlignment w:val="auto"/>
              <w:rPr>
                <w:rFonts w:hint="eastAsia" w:ascii="仿宋" w:hAnsi="仿宋" w:eastAsia="仿宋" w:cs="仿宋"/>
                <w:bCs/>
                <w:color w:val="auto"/>
                <w:sz w:val="24"/>
                <w:szCs w:val="22"/>
              </w:rPr>
            </w:pPr>
            <w:r>
              <w:rPr>
                <w:rFonts w:hint="eastAsia" w:ascii="仿宋" w:hAnsi="仿宋" w:eastAsia="仿宋" w:cs="仿宋"/>
                <w:bCs/>
                <w:color w:val="auto"/>
                <w:sz w:val="24"/>
                <w:szCs w:val="22"/>
              </w:rPr>
              <w:t>10（％）</w:t>
            </w:r>
          </w:p>
        </w:tc>
      </w:tr>
    </w:tbl>
    <w:p w14:paraId="0FDFA527">
      <w:pPr>
        <w:bidi w:val="0"/>
        <w:rPr>
          <w:rFonts w:hint="eastAsia"/>
          <w:lang w:val="en-US" w:eastAsia="zh-CN"/>
        </w:rPr>
      </w:pPr>
      <w:r>
        <w:rPr>
          <w:rFonts w:hint="eastAsia"/>
          <w:lang w:val="en-US" w:eastAsia="zh-CN"/>
        </w:rPr>
        <w:t xml:space="preserve"> </w:t>
      </w:r>
    </w:p>
    <w:p w14:paraId="27A20F2A">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说明：（1）《学生体质健康标准》测试占总分20%。（2）运动能力与技术，其成绩占总分的</w:t>
      </w:r>
      <w:r>
        <w:rPr>
          <w:rFonts w:hint="eastAsia" w:ascii="仿宋" w:hAnsi="仿宋" w:cs="仿宋"/>
          <w:color w:val="auto"/>
          <w:sz w:val="28"/>
          <w:szCs w:val="28"/>
          <w:lang w:val="en-US" w:eastAsia="zh-CN"/>
        </w:rPr>
        <w:t>5</w:t>
      </w:r>
      <w:r>
        <w:rPr>
          <w:rFonts w:hint="eastAsia" w:ascii="仿宋" w:hAnsi="仿宋" w:eastAsia="仿宋" w:cs="仿宋"/>
          <w:color w:val="auto"/>
          <w:sz w:val="28"/>
          <w:szCs w:val="28"/>
          <w:lang w:val="en-US" w:eastAsia="zh-CN"/>
        </w:rPr>
        <w:t>0%。（3）阳光健康跑占</w:t>
      </w:r>
      <w:r>
        <w:rPr>
          <w:rFonts w:hint="eastAsia" w:ascii="仿宋" w:hAnsi="仿宋" w:cs="仿宋"/>
          <w:color w:val="auto"/>
          <w:sz w:val="28"/>
          <w:szCs w:val="28"/>
          <w:lang w:val="en-US" w:eastAsia="zh-CN"/>
        </w:rPr>
        <w:t>2</w:t>
      </w:r>
      <w:r>
        <w:rPr>
          <w:rFonts w:hint="eastAsia" w:ascii="仿宋" w:hAnsi="仿宋" w:eastAsia="仿宋" w:cs="仿宋"/>
          <w:color w:val="auto"/>
          <w:sz w:val="28"/>
          <w:szCs w:val="28"/>
          <w:lang w:val="en-US" w:eastAsia="zh-CN"/>
        </w:rPr>
        <w:t>0%。（4）平时成绩占总分的10%。根据学生出勤、课堂表现、平时对待身体锻炼的态度（早操、课余锻炼、体育竞赛等）和学生的进步幅度情况由任课老师评定。</w:t>
      </w:r>
    </w:p>
    <w:p w14:paraId="7FDEDD13">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第二，在教学过程中，体育部采取不定时抽检的方式，对体育部教师的过程性考核情况进行检查，发现问题立即责令整改；具体操作实施，教学老师负责每个班的课堂教学(全过程）、课外锻炼（体质测试）、阳光体育跑（App数据）、竞赛活动（获奖加分）等学生学业的综合评价；教研室主任负责本教研室教师的阶段教学检查，教学督导负责整个教学过程质量监控的督导工作。对教师教学质量综合评价给予表扬、指导、建议、帮助，并要求教研室定期追踪、反馈。</w:t>
      </w:r>
    </w:p>
    <w:p w14:paraId="199F1CC6">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第三，体育部加强学生考试管理、严肃考试考查纪律，制订考试考查方案与考试考查制度文件，严格按制度执行；同时加强过程性考核</w:t>
      </w:r>
      <w:r>
        <w:rPr>
          <w:rFonts w:hint="eastAsia" w:ascii="仿宋" w:hAnsi="仿宋" w:cs="仿宋"/>
          <w:color w:val="auto"/>
          <w:sz w:val="28"/>
          <w:szCs w:val="28"/>
          <w:lang w:val="en-US" w:eastAsia="zh-CN"/>
        </w:rPr>
        <w:t>、表现性与综合性考核、</w:t>
      </w:r>
      <w:r>
        <w:rPr>
          <w:rFonts w:hint="eastAsia" w:ascii="仿宋" w:hAnsi="仿宋" w:eastAsia="仿宋" w:cs="仿宋"/>
          <w:color w:val="auto"/>
          <w:sz w:val="28"/>
          <w:szCs w:val="28"/>
          <w:lang w:val="en-US" w:eastAsia="zh-CN"/>
        </w:rPr>
        <w:t>结果性考核有机结合，能力与知识考核并重的多元化学业考核评价体系。</w:t>
      </w:r>
    </w:p>
    <w:p w14:paraId="3A94D48A">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第四，考核后，督促教师认真审核考查情况，有问题及时整改，严格登分，要求教师仔细审核并按时提交成绩。并在规定时间内做好学情分析与总结。</w:t>
      </w:r>
    </w:p>
    <w:p w14:paraId="463A2138">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default" w:ascii="宋体" w:hAnsi="宋体" w:eastAsia="宋体" w:cs="宋体"/>
          <w:color w:val="auto"/>
          <w:sz w:val="28"/>
          <w:szCs w:val="28"/>
          <w:lang w:val="en-US" w:eastAsia="zh-CN"/>
        </w:rPr>
      </w:pPr>
      <w:r>
        <w:rPr>
          <w:rFonts w:hint="eastAsia" w:ascii="仿宋" w:hAnsi="仿宋" w:eastAsia="仿宋" w:cs="仿宋"/>
          <w:color w:val="auto"/>
          <w:sz w:val="28"/>
          <w:szCs w:val="28"/>
          <w:lang w:val="en-US" w:eastAsia="zh-CN"/>
        </w:rPr>
        <w:t>第五，严格执行考试制度。对于在考试中舞弊作假的学生，体育部对其严格教育并按照制度予以处分。对于考查不合格的学生，教务办及时梳理出成绩单，学生的补考成绩较为理想，一般能够在补考中达到课程要求。</w:t>
      </w:r>
    </w:p>
    <w:p w14:paraId="24B42686">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eastAsia" w:ascii="黑体" w:hAnsi="黑体" w:eastAsia="黑体" w:cs="黑体"/>
          <w:b/>
          <w:bCs/>
          <w:color w:val="auto"/>
          <w:sz w:val="32"/>
          <w:szCs w:val="32"/>
          <w:lang w:val="en-US" w:eastAsia="zh-CN"/>
        </w:rPr>
      </w:pPr>
      <w:bookmarkStart w:id="142" w:name="_Toc4491"/>
      <w:r>
        <w:rPr>
          <w:rFonts w:hint="eastAsia" w:ascii="黑体" w:hAnsi="黑体" w:eastAsia="黑体" w:cs="黑体"/>
          <w:b/>
          <w:bCs/>
          <w:color w:val="auto"/>
          <w:sz w:val="32"/>
          <w:szCs w:val="32"/>
          <w:lang w:val="en-US" w:eastAsia="zh-CN"/>
        </w:rPr>
        <w:t>6.2 质量改进</w:t>
      </w:r>
      <w:bookmarkEnd w:id="142"/>
    </w:p>
    <w:p w14:paraId="5BCCA4DA">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143" w:name="_Toc17470"/>
      <w:bookmarkStart w:id="144" w:name="_Toc2014"/>
      <w:bookmarkStart w:id="145" w:name="_Toc29394"/>
      <w:r>
        <w:rPr>
          <w:rFonts w:hint="eastAsia" w:ascii="仿宋" w:hAnsi="仿宋" w:eastAsia="仿宋" w:cs="仿宋"/>
          <w:b/>
          <w:bCs/>
          <w:color w:val="auto"/>
          <w:sz w:val="28"/>
          <w:szCs w:val="28"/>
          <w:lang w:val="en-US" w:eastAsia="zh-CN"/>
        </w:rPr>
        <w:t>6.2.1建立评价制度，</w:t>
      </w:r>
      <w:bookmarkEnd w:id="143"/>
      <w:r>
        <w:rPr>
          <w:rFonts w:hint="eastAsia" w:ascii="仿宋" w:hAnsi="仿宋" w:eastAsia="仿宋" w:cs="仿宋"/>
          <w:b/>
          <w:bCs/>
          <w:color w:val="auto"/>
          <w:sz w:val="28"/>
          <w:szCs w:val="28"/>
          <w:lang w:val="en-US" w:eastAsia="zh-CN"/>
        </w:rPr>
        <w:t>积极参与教学评价</w:t>
      </w:r>
      <w:bookmarkEnd w:id="144"/>
      <w:bookmarkEnd w:id="145"/>
    </w:p>
    <w:p w14:paraId="7B44F9D4">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体育部建立了内部质量系列评估制度，成立了部门教学指导委员会，组建了部门教学评价领导小组，组长为体育部主任，副组长为教学副主任、成员包括教学督导、教研室主任、教务办主任。体育部主任为培养目标达成评价的第一责任人；教学副主任为课程目标评价的第一责任人。体育部</w:t>
      </w:r>
      <w:r>
        <w:rPr>
          <w:rFonts w:hint="eastAsia" w:ascii="仿宋" w:hAnsi="仿宋" w:cs="仿宋"/>
          <w:color w:val="auto"/>
          <w:sz w:val="28"/>
          <w:szCs w:val="28"/>
          <w:lang w:val="en-US" w:eastAsia="zh-CN"/>
        </w:rPr>
        <w:t>加强各教研室的评价与考核，作为年末评优评先的依据。结合学校各学院各专业人才</w:t>
      </w:r>
      <w:r>
        <w:rPr>
          <w:rFonts w:hint="eastAsia" w:ascii="仿宋" w:hAnsi="仿宋" w:eastAsia="仿宋" w:cs="仿宋"/>
          <w:color w:val="auto"/>
          <w:sz w:val="28"/>
          <w:szCs w:val="28"/>
          <w:lang w:val="en-US" w:eastAsia="zh-CN"/>
        </w:rPr>
        <w:t>培养方案培养目标</w:t>
      </w:r>
      <w:r>
        <w:rPr>
          <w:rFonts w:hint="eastAsia" w:ascii="仿宋" w:hAnsi="仿宋" w:cs="仿宋"/>
          <w:color w:val="auto"/>
          <w:sz w:val="28"/>
          <w:szCs w:val="28"/>
          <w:lang w:val="en-US" w:eastAsia="zh-CN"/>
        </w:rPr>
        <w:t>，对</w:t>
      </w:r>
      <w:r>
        <w:rPr>
          <w:rFonts w:hint="eastAsia" w:ascii="仿宋" w:hAnsi="仿宋" w:eastAsia="仿宋" w:cs="仿宋"/>
          <w:color w:val="auto"/>
          <w:sz w:val="28"/>
          <w:szCs w:val="28"/>
          <w:lang w:val="en-US" w:eastAsia="zh-CN"/>
        </w:rPr>
        <w:t>课程体系合理性及课程目标达成、课程建设进行了评价</w:t>
      </w:r>
      <w:r>
        <w:rPr>
          <w:rFonts w:hint="eastAsia" w:ascii="仿宋" w:hAnsi="仿宋" w:cs="仿宋"/>
          <w:color w:val="auto"/>
          <w:sz w:val="28"/>
          <w:szCs w:val="28"/>
          <w:lang w:val="en-US" w:eastAsia="zh-CN"/>
        </w:rPr>
        <w:t>。</w:t>
      </w:r>
      <w:r>
        <w:rPr>
          <w:rFonts w:hint="eastAsia" w:ascii="仿宋" w:hAnsi="仿宋" w:eastAsia="仿宋" w:cs="仿宋"/>
          <w:color w:val="auto"/>
          <w:sz w:val="28"/>
          <w:szCs w:val="28"/>
          <w:lang w:val="en-US" w:eastAsia="zh-CN"/>
        </w:rPr>
        <w:t>体育部按照学校的要求，每学期定期开展的评教、评学工作，学生评教与教师评学参与度非常高，学生评教参与度平均达到85%，教师评教参与度达到100%。</w:t>
      </w:r>
    </w:p>
    <w:p w14:paraId="77896362">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146" w:name="_Toc6890"/>
      <w:bookmarkStart w:id="147" w:name="_Toc28868"/>
      <w:r>
        <w:rPr>
          <w:rFonts w:hint="eastAsia" w:ascii="仿宋" w:hAnsi="仿宋" w:eastAsia="仿宋" w:cs="仿宋"/>
          <w:b/>
          <w:bCs/>
          <w:color w:val="auto"/>
          <w:sz w:val="28"/>
          <w:szCs w:val="28"/>
          <w:lang w:val="en-US" w:eastAsia="zh-CN"/>
        </w:rPr>
        <w:t>6.2.2推进质量持续改进，取得明显成效</w:t>
      </w:r>
      <w:bookmarkEnd w:id="146"/>
      <w:bookmarkEnd w:id="147"/>
    </w:p>
    <w:p w14:paraId="2C57AD70">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体育部对质量评估与评价的过程及结果反馈的信息进行持续的跟踪，建立了由“部委--督导--教研室”的监管体系，制定纠正与改进方案及措施，持续对部门教学质量评估进行监控反馈，对存在的问题及时进行整改，对纠正与改进措施的有效性适时进行评价，让教学质量改进取得更好的成效。</w:t>
      </w:r>
    </w:p>
    <w:p w14:paraId="490C5D07">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eastAsia" w:ascii="黑体" w:hAnsi="黑体" w:eastAsia="黑体" w:cs="黑体"/>
          <w:b/>
          <w:bCs/>
          <w:color w:val="auto"/>
          <w:sz w:val="32"/>
          <w:szCs w:val="32"/>
          <w:lang w:val="en-US" w:eastAsia="zh-CN"/>
        </w:rPr>
      </w:pPr>
      <w:bookmarkStart w:id="148" w:name="_Toc357"/>
      <w:r>
        <w:rPr>
          <w:rFonts w:hint="eastAsia" w:ascii="黑体" w:hAnsi="黑体" w:eastAsia="黑体" w:cs="黑体"/>
          <w:b/>
          <w:bCs/>
          <w:color w:val="auto"/>
          <w:sz w:val="32"/>
          <w:szCs w:val="32"/>
          <w:lang w:val="en-US" w:eastAsia="zh-CN"/>
        </w:rPr>
        <w:t>6.3 质量文化</w:t>
      </w:r>
      <w:bookmarkEnd w:id="148"/>
    </w:p>
    <w:p w14:paraId="1FE185C1">
      <w:pPr>
        <w:pStyle w:val="4"/>
        <w:keepNext w:val="0"/>
        <w:keepLines w:val="0"/>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149" w:name="_Toc8375"/>
      <w:bookmarkStart w:id="150" w:name="_Toc24231"/>
      <w:r>
        <w:rPr>
          <w:rFonts w:hint="eastAsia" w:ascii="仿宋" w:hAnsi="仿宋" w:eastAsia="仿宋" w:cs="仿宋"/>
          <w:b/>
          <w:bCs/>
          <w:color w:val="auto"/>
          <w:sz w:val="28"/>
          <w:szCs w:val="28"/>
          <w:lang w:val="en-US" w:eastAsia="zh-CN"/>
        </w:rPr>
        <w:t>6.3.1开展质量文化建设</w:t>
      </w:r>
      <w:bookmarkEnd w:id="149"/>
      <w:bookmarkEnd w:id="150"/>
    </w:p>
    <w:p w14:paraId="25E12F00">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为贯彻落实全民健身国家战略，推动体育与文化的深度融合，</w:t>
      </w:r>
      <w:r>
        <w:rPr>
          <w:rFonts w:hint="eastAsia" w:ascii="仿宋" w:hAnsi="仿宋" w:cs="仿宋"/>
          <w:color w:val="auto"/>
          <w:sz w:val="28"/>
          <w:szCs w:val="28"/>
          <w:lang w:val="en-US" w:eastAsia="zh-CN"/>
        </w:rPr>
        <w:t>体育部</w:t>
      </w:r>
      <w:r>
        <w:rPr>
          <w:rFonts w:hint="eastAsia" w:ascii="仿宋" w:hAnsi="仿宋" w:eastAsia="仿宋" w:cs="仿宋"/>
          <w:color w:val="auto"/>
          <w:sz w:val="28"/>
          <w:szCs w:val="28"/>
          <w:lang w:val="en-US" w:eastAsia="zh-CN"/>
        </w:rPr>
        <w:t>以“增强</w:t>
      </w:r>
      <w:r>
        <w:rPr>
          <w:rFonts w:hint="eastAsia" w:ascii="仿宋" w:hAnsi="仿宋" w:cs="仿宋"/>
          <w:color w:val="auto"/>
          <w:sz w:val="28"/>
          <w:szCs w:val="28"/>
          <w:lang w:val="en-US" w:eastAsia="zh-CN"/>
        </w:rPr>
        <w:t>学生</w:t>
      </w:r>
      <w:r>
        <w:rPr>
          <w:rFonts w:hint="eastAsia" w:ascii="仿宋" w:hAnsi="仿宋" w:eastAsia="仿宋" w:cs="仿宋"/>
          <w:color w:val="auto"/>
          <w:sz w:val="28"/>
          <w:szCs w:val="28"/>
          <w:lang w:val="en-US" w:eastAsia="zh-CN"/>
        </w:rPr>
        <w:t>体质、弘扬体育精神、丰富文化生活”为目标，围绕体育设施建设、活动组织、文化宣传等方面开展了一系列工作，致力于营造健康向上的体育文化氛围，提升</w:t>
      </w:r>
      <w:r>
        <w:rPr>
          <w:rFonts w:hint="eastAsia" w:ascii="仿宋" w:hAnsi="仿宋" w:cs="仿宋"/>
          <w:color w:val="auto"/>
          <w:sz w:val="28"/>
          <w:szCs w:val="28"/>
          <w:lang w:val="en-US" w:eastAsia="zh-CN"/>
        </w:rPr>
        <w:t>学生</w:t>
      </w:r>
      <w:r>
        <w:rPr>
          <w:rFonts w:hint="eastAsia" w:ascii="仿宋" w:hAnsi="仿宋" w:eastAsia="仿宋" w:cs="仿宋"/>
          <w:color w:val="auto"/>
          <w:sz w:val="28"/>
          <w:szCs w:val="28"/>
          <w:lang w:val="en-US" w:eastAsia="zh-CN"/>
        </w:rPr>
        <w:t>参与体育活动的积极性与获得感</w:t>
      </w:r>
      <w:r>
        <w:rPr>
          <w:rFonts w:hint="eastAsia" w:ascii="仿宋" w:hAnsi="仿宋" w:cs="仿宋"/>
          <w:color w:val="auto"/>
          <w:sz w:val="28"/>
          <w:szCs w:val="28"/>
          <w:lang w:val="en-US" w:eastAsia="zh-CN"/>
        </w:rPr>
        <w:t>。</w:t>
      </w:r>
    </w:p>
    <w:p w14:paraId="6A2AE08C">
      <w:pPr>
        <w:keepNext w:val="0"/>
        <w:keepLines w:val="0"/>
        <w:pageBreakBefore w:val="0"/>
        <w:widowControl w:val="0"/>
        <w:numPr>
          <w:ilvl w:val="0"/>
          <w:numId w:val="4"/>
        </w:numPr>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cs="仿宋"/>
          <w:color w:val="auto"/>
          <w:sz w:val="28"/>
          <w:szCs w:val="28"/>
          <w:lang w:val="en-US" w:eastAsia="zh-CN"/>
        </w:rPr>
        <w:t>体育部每年通过举办校园篮球、排球、足球、啦啦操等多样化的</w:t>
      </w:r>
      <w:r>
        <w:rPr>
          <w:rFonts w:hint="eastAsia" w:ascii="仿宋" w:hAnsi="仿宋" w:eastAsia="仿宋" w:cs="仿宋"/>
          <w:color w:val="auto"/>
          <w:sz w:val="28"/>
          <w:szCs w:val="28"/>
          <w:lang w:val="en-US" w:eastAsia="zh-CN"/>
        </w:rPr>
        <w:t>阳光体育</w:t>
      </w:r>
      <w:r>
        <w:rPr>
          <w:rFonts w:hint="eastAsia" w:ascii="仿宋" w:hAnsi="仿宋" w:cs="仿宋"/>
          <w:color w:val="auto"/>
          <w:sz w:val="28"/>
          <w:szCs w:val="28"/>
          <w:lang w:val="en-US" w:eastAsia="zh-CN"/>
        </w:rPr>
        <w:t>赛事</w:t>
      </w:r>
      <w:r>
        <w:rPr>
          <w:rFonts w:hint="eastAsia" w:ascii="仿宋" w:hAnsi="仿宋" w:eastAsia="仿宋" w:cs="仿宋"/>
          <w:color w:val="auto"/>
          <w:sz w:val="28"/>
          <w:szCs w:val="28"/>
          <w:lang w:val="en-US" w:eastAsia="zh-CN"/>
        </w:rPr>
        <w:t>活动，打造我校校园体育文化。坚持以“以</w:t>
      </w:r>
      <w:r>
        <w:rPr>
          <w:rFonts w:hint="eastAsia" w:ascii="仿宋" w:hAnsi="仿宋" w:cs="仿宋"/>
          <w:color w:val="auto"/>
          <w:sz w:val="28"/>
          <w:szCs w:val="28"/>
          <w:lang w:val="en-US" w:eastAsia="zh-CN"/>
        </w:rPr>
        <w:t>体育人</w:t>
      </w:r>
      <w:r>
        <w:rPr>
          <w:rFonts w:hint="eastAsia" w:ascii="仿宋" w:hAnsi="仿宋" w:eastAsia="仿宋" w:cs="仿宋"/>
          <w:color w:val="auto"/>
          <w:sz w:val="28"/>
          <w:szCs w:val="28"/>
          <w:lang w:val="en-US" w:eastAsia="zh-CN"/>
        </w:rPr>
        <w:t>，健康第一”为指导思想，积极响应“全国亿万学生阳光体育活动”的号召，把口号“每天锻炼一小时，健康学习工作五十年，幸福生活一辈子”深入到学生中去，贯彻到实际行动中去。</w:t>
      </w:r>
    </w:p>
    <w:p w14:paraId="05F1FA4B">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第二，开展女性特色体育教育文化建设。结合我校女性特色要求，在大一女生开设形体教学与训练课，让女性展现美的姿态，男生开设传统武术课弘扬民族传统体育；形体（武术）教学，是《大学体育》课程的重要组成部分，十分符合我校女性教育的特色要求，是培养德智体美劳全面发展女性人才的需要。</w:t>
      </w:r>
    </w:p>
    <w:p w14:paraId="31B57760">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第三，引入新兴运动）吸引年轻群体参与</w:t>
      </w:r>
      <w:r>
        <w:rPr>
          <w:rFonts w:hint="eastAsia" w:ascii="仿宋" w:hAnsi="仿宋" w:cs="仿宋"/>
          <w:color w:val="auto"/>
          <w:sz w:val="28"/>
          <w:szCs w:val="28"/>
          <w:lang w:val="en-US" w:eastAsia="zh-CN"/>
        </w:rPr>
        <w:t>；体育部设置</w:t>
      </w:r>
      <w:r>
        <w:rPr>
          <w:rFonts w:hint="eastAsia" w:ascii="仿宋" w:hAnsi="仿宋" w:eastAsia="仿宋" w:cs="仿宋"/>
          <w:color w:val="auto"/>
          <w:sz w:val="28"/>
          <w:szCs w:val="28"/>
          <w:lang w:val="en-US" w:eastAsia="zh-CN"/>
        </w:rPr>
        <w:t>如飞盘</w:t>
      </w:r>
      <w:r>
        <w:rPr>
          <w:rFonts w:hint="eastAsia" w:ascii="仿宋" w:hAnsi="仿宋" w:cs="仿宋"/>
          <w:color w:val="auto"/>
          <w:sz w:val="28"/>
          <w:szCs w:val="28"/>
          <w:lang w:val="en-US" w:eastAsia="zh-CN"/>
        </w:rPr>
        <w:t>、体育舞蹈、女子防身术等选修课，学生喜爱学习效果很好</w:t>
      </w:r>
      <w:r>
        <w:rPr>
          <w:rFonts w:hint="eastAsia" w:ascii="仿宋" w:hAnsi="仿宋" w:eastAsia="仿宋" w:cs="仿宋"/>
          <w:color w:val="auto"/>
          <w:sz w:val="28"/>
          <w:szCs w:val="28"/>
          <w:lang w:val="en-US" w:eastAsia="zh-CN"/>
        </w:rPr>
        <w:t>。</w:t>
      </w:r>
    </w:p>
    <w:p w14:paraId="3078116B">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质量文化建设是落实“五育并举”、培育时代新人的重要抓手。</w:t>
      </w:r>
      <w:r>
        <w:rPr>
          <w:rFonts w:hint="eastAsia" w:ascii="仿宋" w:hAnsi="仿宋" w:cs="仿宋"/>
          <w:color w:val="auto"/>
          <w:sz w:val="28"/>
          <w:szCs w:val="28"/>
          <w:lang w:val="en-US" w:eastAsia="zh-CN"/>
        </w:rPr>
        <w:t>体育部</w:t>
      </w:r>
      <w:r>
        <w:rPr>
          <w:rFonts w:hint="eastAsia" w:ascii="仿宋" w:hAnsi="仿宋" w:eastAsia="仿宋" w:cs="仿宋"/>
          <w:color w:val="auto"/>
          <w:sz w:val="28"/>
          <w:szCs w:val="28"/>
          <w:lang w:val="en-US" w:eastAsia="zh-CN"/>
        </w:rPr>
        <w:t>初步构建了“以学生为中心、以质量为导向、以文化为根基”的体育教学新生态。</w:t>
      </w:r>
    </w:p>
    <w:p w14:paraId="26BA88A3">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151" w:name="_Toc30094"/>
      <w:bookmarkStart w:id="152" w:name="_Toc15688"/>
      <w:r>
        <w:rPr>
          <w:rFonts w:hint="eastAsia" w:ascii="仿宋" w:hAnsi="仿宋" w:eastAsia="仿宋" w:cs="仿宋"/>
          <w:b/>
          <w:bCs/>
          <w:color w:val="auto"/>
          <w:sz w:val="28"/>
          <w:szCs w:val="28"/>
          <w:lang w:val="en-US" w:eastAsia="zh-CN"/>
        </w:rPr>
        <w:t>6.3.2信息公开发布报告</w:t>
      </w:r>
      <w:bookmarkEnd w:id="151"/>
      <w:bookmarkEnd w:id="152"/>
    </w:p>
    <w:p w14:paraId="6ADD71A0">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体育部注重教学信息的公开透明，根据学校人才培养方案及各教研室教学大纲均分发至学生或通过任课教师在课程第一节课进行讲解，各教学大纲均要求上传至学生在线学习平台的自建课程之中。各培养方案及教学大纲均公示于学院网页上，接受社会的监督。按照学校的要求，体育部及时编制、提交和发布了体育部2023-2024年度教学质量报告，已提交至学校教学质量监控与评估中心。</w:t>
      </w:r>
    </w:p>
    <w:p w14:paraId="1242CD6A">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eastAsia" w:ascii="黑体" w:hAnsi="黑体" w:eastAsia="黑体" w:cs="黑体"/>
          <w:b/>
          <w:bCs/>
          <w:color w:val="auto"/>
          <w:sz w:val="32"/>
          <w:szCs w:val="32"/>
          <w:lang w:val="en-US" w:eastAsia="zh-CN"/>
        </w:rPr>
      </w:pPr>
      <w:bookmarkStart w:id="153" w:name="_Toc11095"/>
      <w:r>
        <w:rPr>
          <w:rFonts w:hint="eastAsia" w:ascii="黑体" w:hAnsi="黑体" w:eastAsia="黑体" w:cs="黑体"/>
          <w:b/>
          <w:bCs/>
          <w:color w:val="auto"/>
          <w:sz w:val="32"/>
          <w:szCs w:val="32"/>
          <w:lang w:val="en-US" w:eastAsia="zh-CN"/>
        </w:rPr>
        <w:t>6.4 存在的问题、原因分析及下一步整改举措</w:t>
      </w:r>
      <w:bookmarkEnd w:id="153"/>
    </w:p>
    <w:p w14:paraId="2F94017B">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154" w:name="_Toc18178"/>
      <w:bookmarkStart w:id="155" w:name="_Toc2611"/>
      <w:r>
        <w:rPr>
          <w:rFonts w:hint="eastAsia" w:ascii="仿宋" w:hAnsi="仿宋" w:eastAsia="仿宋" w:cs="仿宋"/>
          <w:b/>
          <w:bCs/>
          <w:color w:val="auto"/>
          <w:sz w:val="28"/>
          <w:szCs w:val="28"/>
          <w:lang w:val="en-US" w:eastAsia="zh-CN"/>
        </w:rPr>
        <w:t>6.4.1 存在的问题</w:t>
      </w:r>
      <w:bookmarkEnd w:id="154"/>
      <w:bookmarkEnd w:id="155"/>
    </w:p>
    <w:p w14:paraId="56A0A1FF">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第一，质量保障制度尚有待进一步健全和规范，现有的保障体系中有待融入微观层面的举措。</w:t>
      </w:r>
    </w:p>
    <w:p w14:paraId="3C43988B">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第二，监控机制还需要完善。</w:t>
      </w:r>
    </w:p>
    <w:p w14:paraId="332F84A2">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第三，外部评价需要规范</w:t>
      </w:r>
      <w:r>
        <w:rPr>
          <w:rFonts w:hint="eastAsia" w:ascii="仿宋" w:hAnsi="仿宋" w:cs="仿宋"/>
          <w:color w:val="auto"/>
          <w:sz w:val="28"/>
          <w:szCs w:val="28"/>
          <w:lang w:val="en-US" w:eastAsia="zh-CN"/>
        </w:rPr>
        <w:t>。</w:t>
      </w:r>
    </w:p>
    <w:p w14:paraId="263ACF28">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第四，持续改进有待落实</w:t>
      </w:r>
    </w:p>
    <w:p w14:paraId="2B388495">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156" w:name="_Toc5701"/>
      <w:bookmarkStart w:id="157" w:name="_Toc28444"/>
      <w:r>
        <w:rPr>
          <w:rFonts w:hint="eastAsia" w:ascii="仿宋" w:hAnsi="仿宋" w:eastAsia="仿宋" w:cs="仿宋"/>
          <w:b/>
          <w:bCs/>
          <w:color w:val="auto"/>
          <w:sz w:val="28"/>
          <w:szCs w:val="28"/>
          <w:lang w:val="en-US" w:eastAsia="zh-CN"/>
        </w:rPr>
        <w:t>6.4.2 原因分析</w:t>
      </w:r>
      <w:bookmarkEnd w:id="156"/>
      <w:bookmarkEnd w:id="157"/>
    </w:p>
    <w:p w14:paraId="1D94CFFD">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第一，师生对体育教育教学理念认识不够；“无体育，不清华”，从名校对体育的认同与站位可知，体育教学理念认识不够直接影响体育教学效果及质量保障。</w:t>
      </w:r>
    </w:p>
    <w:p w14:paraId="68EDA8C4">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第二，体育教学资源不足，学校在实践教学设备、创新创业教育平台等方面的投入相对有限，制约了大学体育教学改革的推进。</w:t>
      </w:r>
    </w:p>
    <w:p w14:paraId="7C0C8BC3">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第三，师资队伍建设机制不完善，教师培训体系不够健全，缺乏针对性和系统性的培训计划；对兼职教师的引进和管理政策不够灵活，难以吸引到优秀的行业人才，也影响到体育教学质量保障。</w:t>
      </w:r>
    </w:p>
    <w:p w14:paraId="0A568666">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en-US" w:eastAsia="zh-CN"/>
        </w:rPr>
      </w:pPr>
      <w:bookmarkStart w:id="158" w:name="_Toc19673"/>
      <w:bookmarkStart w:id="159" w:name="_Toc12013"/>
      <w:r>
        <w:rPr>
          <w:rFonts w:hint="eastAsia" w:ascii="仿宋" w:hAnsi="仿宋" w:eastAsia="仿宋" w:cs="仿宋"/>
          <w:b/>
          <w:bCs/>
          <w:color w:val="auto"/>
          <w:sz w:val="28"/>
          <w:szCs w:val="28"/>
          <w:lang w:val="en-US" w:eastAsia="zh-CN"/>
        </w:rPr>
        <w:t>6.4.3 整改举措</w:t>
      </w:r>
      <w:bookmarkEnd w:id="158"/>
      <w:bookmarkEnd w:id="159"/>
    </w:p>
    <w:p w14:paraId="5890995C">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第一，促进质量保障制度的进一步完善和优化。通过健全保障体系内相关的微观层面制度，将微观层面的制度及其实施方式融入到现有的体系中。</w:t>
      </w:r>
    </w:p>
    <w:p w14:paraId="28C868FA">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第二，加强内部监控机制的完善。</w:t>
      </w:r>
    </w:p>
    <w:p w14:paraId="47336A27">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构建科学的评价指标体系。加强对教学评价的宣传工作，通过多种途径引导广大师生全面、正确看待教学质量评价的重要性与必要性。通过委托专业团队以教改项目立项的形式，开展评价指标体系研究，改变以往指标体系“重规范轻内涵”的弊端。</w:t>
      </w:r>
    </w:p>
    <w:p w14:paraId="431E040F">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（2）加强专业教学质量评价的督查与指导。通过专题培训、交流研讨、座谈会、定期专项督查等方式，以促进师生共同发展为目的，提升师生对教学质量评价的重视程度，提高教学评价的有效性。</w:t>
      </w:r>
    </w:p>
    <w:p w14:paraId="436F944E">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强化评价结果的运用。将教师课堂教学质量评价结果作为教师岗位聘任、职称评定、评优评先、绩效考核等的重要依据。学校遴选部分优秀教师参与示范教学活动；对学生反映问题比较集中、教学质量评价排名靠后的教师进行跟踪听课、专门培训和督促整改；对评价结论为不合格者，暂停任教并安排集中培训和整改提高，整改仍达不到要求者，采取转岗等措施处理。</w:t>
      </w:r>
    </w:p>
    <w:p w14:paraId="3E1F8057">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第三、促进外部评价的科学性。</w:t>
      </w:r>
    </w:p>
    <w:p w14:paraId="09E5E858">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建立科学化、系统化的外部评价机制。进一步完善用人单位等利益相关方参与的对毕业生工作与发展情况进行客观评价的机制，确保信息反馈过程有效和畅通，加大外部评价的主体形式、制度等方面建设，丰富评价的方式和渠道，让评价方式方法为利益相关方熟知与认可，使评价的结果更为合理。</w:t>
      </w:r>
    </w:p>
    <w:p w14:paraId="626D9183">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（2）加大跟踪反馈机制的现代化、及时化、精准化、全面化。外部评价过程要加强对信息技术手段的运用，收集更为完整的学生就业情况、毕业生职业发展调查、用人单位反馈等多方面信息。</w:t>
      </w:r>
    </w:p>
    <w:p w14:paraId="5F9CC6DF">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第四，着力推进持续改进。</w:t>
      </w:r>
    </w:p>
    <w:p w14:paraId="224A31D6">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学校和院部需要提升对于持续改进工作的重视程度，强化领导组织能力水平，构建并完善工作制度，有专门机构专责人员负责，力求突破主客观各方面的限制。根据学校办学层次、办学理念、师资力量与资源保障等具体情况改进和创新学校的教学管理模式、优化管理路径，使分析结果能够得到有效运用，努力建设并完善，持续改进和提高人才培养质量。</w:t>
      </w:r>
    </w:p>
    <w:p w14:paraId="0BADCE99">
      <w:pPr>
        <w:spacing w:line="360" w:lineRule="auto"/>
        <w:ind w:right="542"/>
        <w:jc w:val="both"/>
        <w:rPr>
          <w:rFonts w:ascii="Times New Roman" w:hAnsi="Times New Roman" w:eastAsia="黑体" w:cs="Times New Roman"/>
          <w:color w:val="auto"/>
          <w:sz w:val="32"/>
          <w:szCs w:val="32"/>
          <w:lang w:val="zh-CN" w:eastAsia="zh-CN" w:bidi="zh-CN"/>
        </w:rPr>
      </w:pPr>
      <w:r>
        <w:rPr>
          <w:rFonts w:ascii="Times New Roman" w:hAnsi="Times New Roman" w:eastAsia="黑体" w:cs="Times New Roman"/>
          <w:color w:val="auto"/>
          <w:sz w:val="32"/>
          <w:szCs w:val="32"/>
          <w:lang w:val="zh-CN" w:eastAsia="zh-CN" w:bidi="zh-CN"/>
        </w:rPr>
        <w:t>附</w:t>
      </w:r>
      <w:r>
        <w:rPr>
          <w:rFonts w:hint="eastAsia" w:ascii="Times New Roman" w:hAnsi="Times New Roman" w:eastAsia="黑体" w:cs="Times New Roman"/>
          <w:color w:val="auto"/>
          <w:sz w:val="32"/>
          <w:szCs w:val="32"/>
          <w:lang w:val="zh-CN" w:eastAsia="zh-CN" w:bidi="zh-CN"/>
        </w:rPr>
        <w:t>录</w:t>
      </w:r>
      <w:r>
        <w:rPr>
          <w:rFonts w:ascii="Times New Roman" w:hAnsi="Times New Roman" w:eastAsia="黑体" w:cs="Times New Roman"/>
          <w:color w:val="auto"/>
          <w:sz w:val="32"/>
          <w:szCs w:val="32"/>
          <w:lang w:val="zh-CN" w:eastAsia="zh-CN" w:bidi="zh-CN"/>
        </w:rPr>
        <w:t xml:space="preserve"> 3：</w:t>
      </w:r>
    </w:p>
    <w:p w14:paraId="31C60899">
      <w:pPr>
        <w:spacing w:line="360" w:lineRule="auto"/>
        <w:ind w:right="542"/>
        <w:jc w:val="center"/>
        <w:rPr>
          <w:rFonts w:ascii="Times New Roman" w:hAnsi="Times New Roman" w:eastAsia="仿宋" w:cs="Times New Roman"/>
          <w:color w:val="auto"/>
          <w:spacing w:val="-3"/>
          <w:sz w:val="28"/>
          <w:szCs w:val="28"/>
        </w:rPr>
      </w:pPr>
      <w:r>
        <w:rPr>
          <w:rFonts w:hint="eastAsia" w:ascii="Times New Roman" w:hAnsi="Times New Roman" w:eastAsia="黑体" w:cs="Times New Roman"/>
          <w:color w:val="auto"/>
          <w:sz w:val="30"/>
          <w:szCs w:val="30"/>
          <w:lang w:val="zh-CN" w:eastAsia="zh-CN" w:bidi="zh-CN"/>
        </w:rPr>
        <w:t>主要支撑材料目录</w:t>
      </w:r>
      <w:r>
        <w:rPr>
          <w:rFonts w:ascii="Times New Roman" w:hAnsi="Times New Roman" w:eastAsia="仿宋" w:cs="Times New Roman"/>
          <w:color w:val="auto"/>
          <w:spacing w:val="-3"/>
          <w:sz w:val="28"/>
          <w:szCs w:val="28"/>
        </w:rPr>
        <w:t>（参考格式）</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6263"/>
        <w:gridCol w:w="1564"/>
      </w:tblGrid>
      <w:tr w14:paraId="67EC6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shd w:val="clear" w:color="auto" w:fill="auto"/>
            <w:vAlign w:val="center"/>
          </w:tcPr>
          <w:p w14:paraId="2E78FEF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仿宋" w:cs="Times New Roman"/>
                <w:b/>
                <w:bCs/>
                <w:color w:val="auto"/>
                <w:sz w:val="28"/>
                <w:szCs w:val="28"/>
                <w:lang w:val="zh-CN" w:eastAsia="zh-CN"/>
              </w:rPr>
            </w:pPr>
            <w:r>
              <w:rPr>
                <w:rFonts w:hint="eastAsia" w:ascii="Times New Roman" w:hAnsi="Times New Roman" w:eastAsia="仿宋" w:cs="Times New Roman"/>
                <w:b/>
                <w:bCs/>
                <w:color w:val="auto"/>
                <w:sz w:val="28"/>
                <w:szCs w:val="28"/>
                <w:lang w:eastAsia="zh-CN"/>
              </w:rPr>
              <w:t>一级指标</w:t>
            </w:r>
          </w:p>
        </w:tc>
        <w:tc>
          <w:tcPr>
            <w:tcW w:w="6263" w:type="dxa"/>
            <w:vAlign w:val="center"/>
          </w:tcPr>
          <w:p w14:paraId="2CD1B43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仿宋" w:cs="Times New Roman"/>
                <w:b/>
                <w:bCs/>
                <w:color w:val="auto"/>
                <w:sz w:val="28"/>
                <w:szCs w:val="28"/>
                <w:lang w:eastAsia="zh-CN"/>
              </w:rPr>
            </w:pPr>
            <w:r>
              <w:rPr>
                <w:rFonts w:hint="eastAsia" w:ascii="Times New Roman" w:hAnsi="Times New Roman" w:eastAsia="仿宋" w:cs="Times New Roman"/>
                <w:b/>
                <w:bCs/>
                <w:color w:val="auto"/>
                <w:sz w:val="28"/>
                <w:szCs w:val="28"/>
                <w:lang w:eastAsia="zh-CN"/>
              </w:rPr>
              <w:t>材料名称</w:t>
            </w:r>
          </w:p>
        </w:tc>
        <w:tc>
          <w:tcPr>
            <w:tcW w:w="1564" w:type="dxa"/>
            <w:vAlign w:val="center"/>
          </w:tcPr>
          <w:p w14:paraId="0CF8CEF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仿宋" w:cs="Times New Roman"/>
                <w:b/>
                <w:bCs/>
                <w:color w:val="auto"/>
                <w:sz w:val="28"/>
                <w:szCs w:val="28"/>
                <w:lang w:val="en-US" w:eastAsia="zh-CN"/>
              </w:rPr>
            </w:pPr>
            <w:r>
              <w:rPr>
                <w:rFonts w:hint="eastAsia" w:ascii="Times New Roman" w:hAnsi="Times New Roman" w:eastAsia="仿宋" w:cs="Times New Roman"/>
                <w:b/>
                <w:bCs/>
                <w:color w:val="auto"/>
                <w:sz w:val="28"/>
                <w:szCs w:val="28"/>
                <w:lang w:val="en-US" w:eastAsia="zh-CN"/>
              </w:rPr>
              <w:t>备注</w:t>
            </w:r>
          </w:p>
        </w:tc>
      </w:tr>
      <w:tr w14:paraId="4A22D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vMerge w:val="restart"/>
            <w:shd w:val="clear" w:color="auto" w:fill="auto"/>
            <w:vAlign w:val="center"/>
          </w:tcPr>
          <w:p w14:paraId="0138C3E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6</w:t>
            </w:r>
            <w:r>
              <w:rPr>
                <w:rFonts w:hint="eastAsia" w:ascii="Times New Roman" w:hAnsi="Times New Roman" w:eastAsia="仿宋" w:cs="Times New Roman"/>
                <w:color w:val="auto"/>
                <w:sz w:val="28"/>
                <w:szCs w:val="28"/>
                <w:lang w:eastAsia="zh-CN"/>
              </w:rPr>
              <w:t>.</w:t>
            </w:r>
            <w:r>
              <w:rPr>
                <w:rFonts w:hint="eastAsia" w:ascii="Times New Roman" w:hAnsi="Times New Roman" w:eastAsia="仿宋" w:cs="Times New Roman"/>
                <w:color w:val="auto"/>
                <w:sz w:val="28"/>
                <w:szCs w:val="28"/>
                <w:lang w:val="en-US" w:eastAsia="zh-CN"/>
              </w:rPr>
              <w:t>质量保障</w:t>
            </w:r>
          </w:p>
          <w:p w14:paraId="12A13F1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8"/>
                <w:szCs w:val="28"/>
                <w:vertAlign w:val="baseline"/>
              </w:rPr>
            </w:pPr>
          </w:p>
        </w:tc>
        <w:tc>
          <w:tcPr>
            <w:tcW w:w="6263" w:type="dxa"/>
            <w:vAlign w:val="center"/>
          </w:tcPr>
          <w:p w14:paraId="4EC486A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both"/>
              <w:textAlignment w:val="auto"/>
              <w:rPr>
                <w:rFonts w:hint="default" w:eastAsia="等线"/>
                <w:color w:val="auto"/>
                <w:sz w:val="28"/>
                <w:szCs w:val="28"/>
                <w:vertAlign w:val="baseline"/>
                <w:lang w:val="en-US" w:eastAsia="zh-CN"/>
              </w:rPr>
            </w:pPr>
            <w:r>
              <w:rPr>
                <w:rFonts w:hint="eastAsia"/>
                <w:color w:val="auto"/>
                <w:sz w:val="28"/>
                <w:szCs w:val="28"/>
                <w:vertAlign w:val="baseline"/>
                <w:lang w:val="en-US" w:eastAsia="zh-CN"/>
              </w:rPr>
              <w:t>6.1</w:t>
            </w:r>
            <w:r>
              <w:rPr>
                <w:color w:val="auto"/>
                <w:sz w:val="28"/>
                <w:szCs w:val="28"/>
              </w:rPr>
              <w:t>质量管理</w:t>
            </w:r>
          </w:p>
        </w:tc>
        <w:tc>
          <w:tcPr>
            <w:tcW w:w="1564" w:type="dxa"/>
          </w:tcPr>
          <w:p w14:paraId="4822ECE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color w:val="auto"/>
                <w:sz w:val="28"/>
                <w:szCs w:val="28"/>
                <w:vertAlign w:val="baseline"/>
                <w:lang w:val="en-US" w:eastAsia="zh-CN"/>
              </w:rPr>
            </w:pPr>
            <w:r>
              <w:rPr>
                <w:rFonts w:hint="eastAsia"/>
                <w:color w:val="auto"/>
                <w:sz w:val="28"/>
                <w:szCs w:val="28"/>
                <w:vertAlign w:val="baseline"/>
                <w:lang w:val="en-US" w:eastAsia="zh-CN"/>
              </w:rPr>
              <w:t>附件：文件夹6.1</w:t>
            </w:r>
          </w:p>
        </w:tc>
      </w:tr>
      <w:tr w14:paraId="3D750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vMerge w:val="continue"/>
          </w:tcPr>
          <w:p w14:paraId="69354C2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8"/>
                <w:szCs w:val="28"/>
                <w:vertAlign w:val="baseline"/>
              </w:rPr>
            </w:pPr>
          </w:p>
        </w:tc>
        <w:tc>
          <w:tcPr>
            <w:tcW w:w="6263" w:type="dxa"/>
            <w:vAlign w:val="center"/>
          </w:tcPr>
          <w:p w14:paraId="6A09BF0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both"/>
              <w:textAlignment w:val="auto"/>
              <w:rPr>
                <w:rFonts w:hint="eastAsia"/>
                <w:color w:val="auto"/>
                <w:sz w:val="28"/>
                <w:szCs w:val="28"/>
                <w:vertAlign w:val="baseline"/>
                <w:lang w:val="en-US" w:eastAsia="zh-CN"/>
              </w:rPr>
            </w:pPr>
            <w:r>
              <w:rPr>
                <w:rFonts w:hint="eastAsia"/>
                <w:color w:val="auto"/>
                <w:sz w:val="28"/>
                <w:szCs w:val="28"/>
                <w:vertAlign w:val="baseline"/>
                <w:lang w:val="en-US" w:eastAsia="zh-CN"/>
              </w:rPr>
              <w:t>6.2</w:t>
            </w:r>
            <w:r>
              <w:rPr>
                <w:color w:val="auto"/>
                <w:sz w:val="28"/>
                <w:szCs w:val="28"/>
              </w:rPr>
              <w:t>质量改进</w:t>
            </w:r>
          </w:p>
          <w:p w14:paraId="77BE2DB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both"/>
              <w:textAlignment w:val="auto"/>
              <w:rPr>
                <w:rFonts w:hint="default" w:eastAsia="等线"/>
                <w:color w:val="auto"/>
                <w:sz w:val="28"/>
                <w:szCs w:val="28"/>
                <w:vertAlign w:val="baseline"/>
                <w:lang w:val="en-US" w:eastAsia="zh-CN"/>
              </w:rPr>
            </w:pPr>
          </w:p>
        </w:tc>
        <w:tc>
          <w:tcPr>
            <w:tcW w:w="1564" w:type="dxa"/>
          </w:tcPr>
          <w:p w14:paraId="35D4D73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color w:val="auto"/>
                <w:sz w:val="28"/>
                <w:szCs w:val="28"/>
                <w:vertAlign w:val="baseline"/>
                <w:lang w:val="en-US"/>
              </w:rPr>
            </w:pPr>
            <w:r>
              <w:rPr>
                <w:rFonts w:hint="eastAsia"/>
                <w:color w:val="auto"/>
                <w:sz w:val="28"/>
                <w:szCs w:val="28"/>
                <w:vertAlign w:val="baseline"/>
                <w:lang w:val="en-US" w:eastAsia="zh-CN"/>
              </w:rPr>
              <w:t>附件：文件夹6.2</w:t>
            </w:r>
          </w:p>
        </w:tc>
      </w:tr>
      <w:tr w14:paraId="681B2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vMerge w:val="continue"/>
          </w:tcPr>
          <w:p w14:paraId="267825A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8"/>
                <w:szCs w:val="28"/>
                <w:vertAlign w:val="baseline"/>
              </w:rPr>
            </w:pPr>
          </w:p>
        </w:tc>
        <w:tc>
          <w:tcPr>
            <w:tcW w:w="6263" w:type="dxa"/>
            <w:vAlign w:val="center"/>
          </w:tcPr>
          <w:p w14:paraId="281AC51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both"/>
              <w:textAlignment w:val="auto"/>
              <w:rPr>
                <w:rFonts w:hint="eastAsia"/>
                <w:color w:val="auto"/>
                <w:sz w:val="28"/>
                <w:szCs w:val="28"/>
                <w:vertAlign w:val="baseline"/>
                <w:lang w:val="en-US" w:eastAsia="zh-CN"/>
              </w:rPr>
            </w:pPr>
            <w:r>
              <w:rPr>
                <w:rFonts w:hint="eastAsia"/>
                <w:color w:val="auto"/>
                <w:sz w:val="28"/>
                <w:szCs w:val="28"/>
                <w:vertAlign w:val="baseline"/>
                <w:lang w:val="en-US" w:eastAsia="zh-CN"/>
              </w:rPr>
              <w:t>6.3质量文化</w:t>
            </w:r>
          </w:p>
          <w:p w14:paraId="216B097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both"/>
              <w:textAlignment w:val="auto"/>
              <w:rPr>
                <w:rFonts w:hint="default" w:eastAsia="等线"/>
                <w:color w:val="auto"/>
                <w:sz w:val="28"/>
                <w:szCs w:val="28"/>
                <w:vertAlign w:val="baseline"/>
                <w:lang w:val="en-US" w:eastAsia="zh-CN"/>
              </w:rPr>
            </w:pPr>
          </w:p>
        </w:tc>
        <w:tc>
          <w:tcPr>
            <w:tcW w:w="1564" w:type="dxa"/>
          </w:tcPr>
          <w:p w14:paraId="0C7EDC5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color w:val="auto"/>
                <w:sz w:val="28"/>
                <w:szCs w:val="28"/>
                <w:vertAlign w:val="baseline"/>
                <w:lang w:val="en-US"/>
              </w:rPr>
            </w:pPr>
            <w:r>
              <w:rPr>
                <w:rFonts w:hint="eastAsia"/>
                <w:color w:val="auto"/>
                <w:sz w:val="28"/>
                <w:szCs w:val="28"/>
                <w:vertAlign w:val="baseline"/>
                <w:lang w:val="en-US" w:eastAsia="zh-CN"/>
              </w:rPr>
              <w:t>附件：文件夹6.3</w:t>
            </w:r>
          </w:p>
        </w:tc>
      </w:tr>
      <w:tr w14:paraId="0E078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vMerge w:val="continue"/>
          </w:tcPr>
          <w:p w14:paraId="55BC42A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color w:val="auto"/>
                <w:sz w:val="28"/>
                <w:szCs w:val="28"/>
                <w:vertAlign w:val="baseline"/>
              </w:rPr>
            </w:pPr>
          </w:p>
        </w:tc>
        <w:tc>
          <w:tcPr>
            <w:tcW w:w="6263" w:type="dxa"/>
            <w:vAlign w:val="center"/>
          </w:tcPr>
          <w:p w14:paraId="611C066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both"/>
              <w:textAlignment w:val="auto"/>
              <w:rPr>
                <w:rFonts w:hint="eastAsia"/>
                <w:color w:val="auto"/>
                <w:sz w:val="28"/>
                <w:szCs w:val="28"/>
                <w:vertAlign w:val="baseline"/>
                <w:lang w:val="en-US" w:eastAsia="zh-CN"/>
              </w:rPr>
            </w:pPr>
            <w:r>
              <w:rPr>
                <w:rFonts w:hint="eastAsia"/>
                <w:color w:val="auto"/>
                <w:sz w:val="28"/>
                <w:szCs w:val="28"/>
                <w:vertAlign w:val="baseline"/>
                <w:lang w:val="en-US" w:eastAsia="zh-CN"/>
              </w:rPr>
              <w:t>6.4存在的问题、原因分析及下一步整改举措</w:t>
            </w:r>
          </w:p>
          <w:p w14:paraId="7238CEA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both"/>
              <w:textAlignment w:val="auto"/>
              <w:rPr>
                <w:rFonts w:hint="eastAsia"/>
                <w:color w:val="auto"/>
                <w:sz w:val="28"/>
                <w:szCs w:val="28"/>
                <w:vertAlign w:val="baseline"/>
                <w:lang w:val="en-US" w:eastAsia="zh-CN"/>
              </w:rPr>
            </w:pPr>
          </w:p>
        </w:tc>
        <w:tc>
          <w:tcPr>
            <w:tcW w:w="1564" w:type="dxa"/>
          </w:tcPr>
          <w:p w14:paraId="47F6C17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color w:val="auto"/>
                <w:sz w:val="28"/>
                <w:szCs w:val="28"/>
                <w:vertAlign w:val="baseline"/>
                <w:lang w:val="en-US"/>
              </w:rPr>
            </w:pPr>
          </w:p>
        </w:tc>
      </w:tr>
    </w:tbl>
    <w:p w14:paraId="114E3907">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eastAsia" w:ascii="黑体" w:hAnsi="黑体" w:eastAsia="黑体" w:cs="黑体"/>
          <w:b/>
          <w:bCs/>
          <w:color w:val="auto"/>
          <w:sz w:val="32"/>
          <w:szCs w:val="32"/>
          <w:lang w:val="zh-CN" w:eastAsia="zh-CN"/>
        </w:rPr>
      </w:pPr>
      <w:bookmarkStart w:id="160" w:name="_Toc2769"/>
      <w:r>
        <w:rPr>
          <w:rFonts w:hint="eastAsia" w:ascii="黑体" w:hAnsi="黑体" w:eastAsia="黑体" w:cs="黑体"/>
          <w:b/>
          <w:bCs/>
          <w:color w:val="auto"/>
          <w:sz w:val="32"/>
          <w:szCs w:val="32"/>
          <w:lang w:val="zh-CN" w:eastAsia="zh-CN"/>
        </w:rPr>
        <w:t>7.教学成效</w:t>
      </w:r>
      <w:bookmarkEnd w:id="160"/>
    </w:p>
    <w:p w14:paraId="7F7E965D">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eastAsia" w:ascii="黑体" w:hAnsi="黑体" w:eastAsia="黑体" w:cs="黑体"/>
          <w:b/>
          <w:bCs/>
          <w:color w:val="auto"/>
          <w:sz w:val="32"/>
          <w:szCs w:val="32"/>
          <w:lang w:val="zh-CN" w:eastAsia="zh-CN"/>
        </w:rPr>
      </w:pPr>
      <w:bookmarkStart w:id="161" w:name="_Toc6669"/>
      <w:r>
        <w:rPr>
          <w:rFonts w:hint="eastAsia" w:ascii="黑体" w:hAnsi="黑体" w:eastAsia="黑体" w:cs="黑体"/>
          <w:b/>
          <w:bCs/>
          <w:color w:val="auto"/>
          <w:sz w:val="32"/>
          <w:szCs w:val="32"/>
          <w:lang w:val="zh-CN" w:eastAsia="zh-CN"/>
        </w:rPr>
        <w:t>7.1 达成度</w:t>
      </w:r>
      <w:bookmarkEnd w:id="161"/>
    </w:p>
    <w:p w14:paraId="10CBECA3">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zh-CN" w:eastAsia="zh-CN"/>
        </w:rPr>
      </w:pPr>
      <w:bookmarkStart w:id="162" w:name="_Toc25813"/>
      <w:bookmarkStart w:id="163" w:name="_Toc18803"/>
      <w:r>
        <w:rPr>
          <w:rFonts w:hint="eastAsia" w:ascii="仿宋" w:hAnsi="仿宋" w:eastAsia="仿宋" w:cs="仿宋"/>
          <w:b/>
          <w:bCs/>
          <w:color w:val="auto"/>
          <w:sz w:val="28"/>
          <w:szCs w:val="28"/>
          <w:lang w:val="zh-CN" w:eastAsia="zh-CN"/>
        </w:rPr>
        <w:t>7.1.1基本达成各专业人才培养目标</w:t>
      </w:r>
      <w:bookmarkEnd w:id="162"/>
      <w:bookmarkEnd w:id="163"/>
    </w:p>
    <w:p w14:paraId="2ED8847A">
      <w:pPr>
        <w:pageBreakBefore w:val="0"/>
        <w:widowControl w:val="0"/>
        <w:kinsoku/>
        <w:wordWrap/>
        <w:overflowPunct/>
        <w:topLinePunct w:val="0"/>
        <w:autoSpaceDE w:val="0"/>
        <w:autoSpaceDN w:val="0"/>
        <w:bidi w:val="0"/>
        <w:adjustRightInd/>
        <w:snapToGrid/>
        <w:spacing w:line="500" w:lineRule="exact"/>
        <w:ind w:firstLine="518" w:firstLineChars="200"/>
        <w:jc w:val="left"/>
        <w:textAlignment w:val="auto"/>
        <w:rPr>
          <w:rFonts w:ascii="Times New Roman" w:hAnsi="Times New Roman" w:eastAsia="仿宋" w:cs="Times New Roman"/>
          <w:b/>
          <w:bCs/>
          <w:color w:val="auto"/>
          <w:spacing w:val="-11"/>
          <w:kern w:val="0"/>
          <w:sz w:val="28"/>
          <w:szCs w:val="28"/>
          <w:lang w:val="zh-CN" w:bidi="zh-CN"/>
        </w:rPr>
      </w:pPr>
      <w:r>
        <w:rPr>
          <w:rFonts w:hint="eastAsia" w:ascii="Times New Roman" w:hAnsi="Times New Roman" w:eastAsia="仿宋" w:cs="Times New Roman"/>
          <w:b/>
          <w:bCs/>
          <w:color w:val="auto"/>
          <w:spacing w:val="-11"/>
          <w:kern w:val="0"/>
          <w:sz w:val="28"/>
          <w:szCs w:val="28"/>
          <w:lang w:val="zh-CN" w:bidi="zh-CN"/>
        </w:rPr>
        <w:t>一、体育教学人才培养目标：</w:t>
      </w:r>
    </w:p>
    <w:p w14:paraId="4A7BAF91">
      <w:pPr>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kern w:val="0"/>
          <w:sz w:val="28"/>
          <w:szCs w:val="28"/>
          <w:lang w:val="zh-CN" w:bidi="zh-CN"/>
        </w:rPr>
      </w:pPr>
      <w:r>
        <w:rPr>
          <w:rFonts w:hint="eastAsia" w:ascii="仿宋" w:hAnsi="仿宋" w:eastAsia="仿宋" w:cs="仿宋"/>
          <w:color w:val="auto"/>
          <w:kern w:val="0"/>
          <w:sz w:val="28"/>
          <w:szCs w:val="28"/>
          <w:lang w:bidi="zh-CN"/>
        </w:rPr>
        <w:t>坚持“以人为本、健康第一、满足兴趣、提升素质、服务就业”的女性特色体育教育理念，培养学生具备自我进行体育锻炼的基本能力，形成良好的体育运动习惯，进而成为具备“四自”（自尊、自信、自立、自强）精神的新时代健康女性人才。</w:t>
      </w:r>
    </w:p>
    <w:p w14:paraId="1F19B22E">
      <w:pPr>
        <w:pageBreakBefore w:val="0"/>
        <w:widowControl w:val="0"/>
        <w:kinsoku/>
        <w:wordWrap/>
        <w:overflowPunct/>
        <w:topLinePunct w:val="0"/>
        <w:autoSpaceDE w:val="0"/>
        <w:autoSpaceDN w:val="0"/>
        <w:bidi w:val="0"/>
        <w:adjustRightInd/>
        <w:snapToGrid/>
        <w:spacing w:line="500" w:lineRule="exact"/>
        <w:ind w:firstLine="518" w:firstLineChars="200"/>
        <w:jc w:val="left"/>
        <w:textAlignment w:val="auto"/>
        <w:rPr>
          <w:rFonts w:ascii="Times New Roman" w:hAnsi="Times New Roman" w:eastAsia="仿宋" w:cs="Times New Roman"/>
          <w:b/>
          <w:bCs/>
          <w:color w:val="auto"/>
          <w:spacing w:val="-11"/>
          <w:kern w:val="0"/>
          <w:sz w:val="28"/>
          <w:szCs w:val="28"/>
          <w:lang w:val="zh-CN" w:bidi="zh-CN"/>
        </w:rPr>
      </w:pPr>
      <w:r>
        <w:rPr>
          <w:rFonts w:hint="eastAsia" w:ascii="Times New Roman" w:hAnsi="Times New Roman" w:eastAsia="仿宋" w:cs="Times New Roman"/>
          <w:b/>
          <w:bCs/>
          <w:color w:val="auto"/>
          <w:spacing w:val="-11"/>
          <w:kern w:val="0"/>
          <w:sz w:val="28"/>
          <w:szCs w:val="28"/>
          <w:lang w:val="zh-CN" w:bidi="zh-CN"/>
        </w:rPr>
        <w:t>二、人才培养目标达成度情况综述（2022-2024</w:t>
      </w:r>
      <w:r>
        <w:rPr>
          <w:rFonts w:ascii="Times New Roman" w:hAnsi="Times New Roman" w:eastAsia="仿宋" w:cs="Times New Roman"/>
          <w:b/>
          <w:bCs/>
          <w:color w:val="auto"/>
          <w:spacing w:val="-11"/>
          <w:kern w:val="0"/>
          <w:sz w:val="28"/>
          <w:szCs w:val="28"/>
          <w:lang w:val="zh-CN" w:bidi="zh-CN"/>
        </w:rPr>
        <w:t>学年</w:t>
      </w:r>
      <w:r>
        <w:rPr>
          <w:rFonts w:hint="eastAsia" w:ascii="Times New Roman" w:hAnsi="Times New Roman" w:eastAsia="仿宋" w:cs="Times New Roman"/>
          <w:b/>
          <w:bCs/>
          <w:color w:val="auto"/>
          <w:spacing w:val="-11"/>
          <w:kern w:val="0"/>
          <w:sz w:val="28"/>
          <w:szCs w:val="28"/>
          <w:lang w:val="zh-CN" w:bidi="zh-CN"/>
        </w:rPr>
        <w:t>）：</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0"/>
        <w:gridCol w:w="4413"/>
        <w:gridCol w:w="2199"/>
        <w:gridCol w:w="902"/>
      </w:tblGrid>
      <w:tr w14:paraId="12E6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5" w:type="pct"/>
            <w:vAlign w:val="center"/>
          </w:tcPr>
          <w:p w14:paraId="5EA6E149">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ascii="Times New Roman" w:hAnsi="Times New Roman" w:eastAsia="仿宋" w:cs="Times New Roman"/>
                <w:b/>
                <w:bCs/>
                <w:color w:val="auto"/>
                <w:spacing w:val="-11"/>
                <w:kern w:val="0"/>
                <w:sz w:val="28"/>
                <w:szCs w:val="28"/>
                <w:lang w:val="zh-CN" w:bidi="zh-CN"/>
              </w:rPr>
            </w:pPr>
            <w:r>
              <w:rPr>
                <w:rFonts w:hint="eastAsia" w:ascii="Times New Roman" w:hAnsi="Times New Roman" w:eastAsia="仿宋" w:cs="Times New Roman"/>
                <w:b/>
                <w:bCs/>
                <w:color w:val="auto"/>
                <w:kern w:val="0"/>
                <w:sz w:val="28"/>
                <w:szCs w:val="28"/>
                <w:lang w:val="zh-CN" w:bidi="zh-CN"/>
              </w:rPr>
              <w:t>专业分类</w:t>
            </w:r>
          </w:p>
        </w:tc>
        <w:tc>
          <w:tcPr>
            <w:tcW w:w="2434" w:type="pct"/>
            <w:vAlign w:val="center"/>
          </w:tcPr>
          <w:p w14:paraId="76148BE1">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ascii="Times New Roman" w:hAnsi="Times New Roman" w:eastAsia="仿宋" w:cs="Times New Roman"/>
                <w:b/>
                <w:bCs/>
                <w:color w:val="auto"/>
                <w:spacing w:val="-11"/>
                <w:kern w:val="0"/>
                <w:sz w:val="28"/>
                <w:szCs w:val="28"/>
                <w:lang w:val="zh-CN" w:bidi="zh-CN"/>
              </w:rPr>
            </w:pPr>
            <w:r>
              <w:rPr>
                <w:rFonts w:hint="eastAsia" w:ascii="Times New Roman" w:hAnsi="Times New Roman" w:eastAsia="仿宋" w:cs="Times New Roman"/>
                <w:b/>
                <w:bCs/>
                <w:color w:val="auto"/>
                <w:kern w:val="0"/>
                <w:sz w:val="28"/>
                <w:szCs w:val="28"/>
                <w:lang w:val="zh-CN" w:bidi="zh-CN"/>
              </w:rPr>
              <w:t>目标考核项</w:t>
            </w:r>
          </w:p>
        </w:tc>
        <w:tc>
          <w:tcPr>
            <w:tcW w:w="1213" w:type="pct"/>
            <w:vAlign w:val="center"/>
          </w:tcPr>
          <w:p w14:paraId="70F93F2D">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ascii="Times New Roman" w:hAnsi="Times New Roman" w:eastAsia="仿宋" w:cs="Times New Roman"/>
                <w:b/>
                <w:bCs/>
                <w:color w:val="auto"/>
                <w:spacing w:val="-11"/>
                <w:kern w:val="0"/>
                <w:sz w:val="28"/>
                <w:szCs w:val="28"/>
                <w:lang w:val="zh-CN" w:bidi="zh-CN"/>
              </w:rPr>
            </w:pPr>
            <w:r>
              <w:rPr>
                <w:rFonts w:hint="eastAsia" w:ascii="Times New Roman" w:hAnsi="Times New Roman" w:eastAsia="仿宋" w:cs="Times New Roman"/>
                <w:b/>
                <w:bCs/>
                <w:color w:val="auto"/>
                <w:kern w:val="0"/>
                <w:sz w:val="28"/>
                <w:szCs w:val="28"/>
                <w:lang w:val="zh-CN" w:bidi="zh-CN"/>
              </w:rPr>
              <w:t>达标率（%）</w:t>
            </w:r>
          </w:p>
        </w:tc>
        <w:tc>
          <w:tcPr>
            <w:tcW w:w="497" w:type="pct"/>
            <w:vAlign w:val="center"/>
          </w:tcPr>
          <w:p w14:paraId="462541BE">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ascii="Times New Roman" w:hAnsi="Times New Roman" w:eastAsia="仿宋" w:cs="Times New Roman"/>
                <w:b/>
                <w:bCs/>
                <w:color w:val="auto"/>
                <w:spacing w:val="-11"/>
                <w:kern w:val="0"/>
                <w:sz w:val="28"/>
                <w:szCs w:val="28"/>
                <w:lang w:val="zh-CN" w:bidi="zh-CN"/>
              </w:rPr>
            </w:pPr>
            <w:r>
              <w:rPr>
                <w:rFonts w:hint="eastAsia" w:ascii="Times New Roman" w:hAnsi="Times New Roman" w:eastAsia="仿宋" w:cs="Times New Roman"/>
                <w:b/>
                <w:bCs/>
                <w:color w:val="auto"/>
                <w:kern w:val="0"/>
                <w:sz w:val="28"/>
                <w:szCs w:val="28"/>
                <w:lang w:val="zh-CN" w:bidi="zh-CN"/>
              </w:rPr>
              <w:t>等级</w:t>
            </w:r>
          </w:p>
        </w:tc>
      </w:tr>
      <w:tr w14:paraId="7D39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5" w:type="pct"/>
            <w:vAlign w:val="center"/>
          </w:tcPr>
          <w:p w14:paraId="02E2AE86">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ascii="Times New Roman" w:hAnsi="Times New Roman" w:eastAsia="仿宋" w:cs="Times New Roman"/>
                <w:b/>
                <w:bCs/>
                <w:color w:val="auto"/>
                <w:spacing w:val="-11"/>
                <w:kern w:val="0"/>
                <w:sz w:val="24"/>
                <w:szCs w:val="24"/>
                <w:lang w:val="zh-CN" w:bidi="zh-CN"/>
              </w:rPr>
            </w:pPr>
            <w:r>
              <w:rPr>
                <w:rFonts w:hint="eastAsia" w:ascii="Times New Roman" w:hAnsi="Times New Roman" w:eastAsia="仿宋" w:cs="Times New Roman"/>
                <w:b/>
                <w:bCs/>
                <w:color w:val="auto"/>
                <w:kern w:val="0"/>
                <w:sz w:val="24"/>
                <w:szCs w:val="24"/>
                <w:lang w:val="zh-CN" w:bidi="zh-CN"/>
              </w:rPr>
              <w:t>文科类</w:t>
            </w:r>
          </w:p>
        </w:tc>
        <w:tc>
          <w:tcPr>
            <w:tcW w:w="2434" w:type="pct"/>
            <w:vAlign w:val="center"/>
          </w:tcPr>
          <w:p w14:paraId="527A944B">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ascii="Times New Roman" w:hAnsi="Times New Roman" w:eastAsia="仿宋" w:cs="Times New Roman"/>
                <w:b/>
                <w:bCs/>
                <w:color w:val="auto"/>
                <w:spacing w:val="-11"/>
                <w:kern w:val="0"/>
                <w:sz w:val="24"/>
                <w:szCs w:val="24"/>
                <w:lang w:val="zh-CN" w:bidi="zh-CN"/>
              </w:rPr>
            </w:pPr>
            <w:r>
              <w:rPr>
                <w:rFonts w:hint="eastAsia" w:ascii="Times New Roman" w:hAnsi="Times New Roman" w:eastAsia="仿宋" w:cs="Times New Roman"/>
                <w:color w:val="auto"/>
                <w:kern w:val="0"/>
                <w:sz w:val="24"/>
                <w:szCs w:val="24"/>
                <w:lang w:val="zh-CN" w:bidi="zh-CN"/>
              </w:rPr>
              <w:t>身体素质提升（体能测试达标率）</w:t>
            </w:r>
          </w:p>
        </w:tc>
        <w:tc>
          <w:tcPr>
            <w:tcW w:w="1213" w:type="pct"/>
            <w:vAlign w:val="center"/>
          </w:tcPr>
          <w:p w14:paraId="6F845610">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仿宋" w:hAnsi="仿宋" w:eastAsia="仿宋" w:cs="Times New Roman"/>
                <w:color w:val="auto"/>
                <w:spacing w:val="-11"/>
                <w:kern w:val="0"/>
                <w:sz w:val="24"/>
                <w:szCs w:val="24"/>
                <w:lang w:val="zh-CN" w:bidi="zh-CN"/>
              </w:rPr>
            </w:pPr>
            <w:r>
              <w:rPr>
                <w:rFonts w:hint="eastAsia" w:ascii="仿宋" w:hAnsi="仿宋" w:eastAsia="仿宋" w:cs="Times New Roman"/>
                <w:color w:val="auto"/>
                <w:kern w:val="0"/>
                <w:sz w:val="24"/>
                <w:szCs w:val="24"/>
                <w:lang w:val="zh-CN" w:bidi="zh-CN"/>
              </w:rPr>
              <w:t>92.5</w:t>
            </w:r>
          </w:p>
        </w:tc>
        <w:tc>
          <w:tcPr>
            <w:tcW w:w="497" w:type="pct"/>
            <w:vAlign w:val="center"/>
          </w:tcPr>
          <w:p w14:paraId="5AB87D38">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仿宋" w:hAnsi="仿宋" w:eastAsia="仿宋" w:cs="Times New Roman"/>
                <w:color w:val="auto"/>
                <w:spacing w:val="-11"/>
                <w:kern w:val="0"/>
                <w:sz w:val="24"/>
                <w:szCs w:val="24"/>
                <w:lang w:val="zh-CN" w:bidi="zh-CN"/>
              </w:rPr>
            </w:pPr>
            <w:r>
              <w:rPr>
                <w:rFonts w:hint="eastAsia" w:ascii="仿宋" w:hAnsi="仿宋" w:eastAsia="仿宋" w:cs="Times New Roman"/>
                <w:color w:val="auto"/>
                <w:spacing w:val="-11"/>
                <w:kern w:val="0"/>
                <w:sz w:val="24"/>
                <w:szCs w:val="24"/>
                <w:lang w:val="zh-CN" w:bidi="zh-CN"/>
              </w:rPr>
              <w:t>优秀</w:t>
            </w:r>
          </w:p>
        </w:tc>
      </w:tr>
      <w:tr w14:paraId="4D8A0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5" w:type="pct"/>
            <w:vAlign w:val="center"/>
          </w:tcPr>
          <w:p w14:paraId="12F5B6CF">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ascii="Times New Roman" w:hAnsi="Times New Roman" w:eastAsia="仿宋" w:cs="Times New Roman"/>
                <w:b/>
                <w:bCs/>
                <w:color w:val="auto"/>
                <w:spacing w:val="-11"/>
                <w:kern w:val="0"/>
                <w:sz w:val="24"/>
                <w:szCs w:val="24"/>
                <w:lang w:val="zh-CN" w:bidi="zh-CN"/>
              </w:rPr>
            </w:pPr>
          </w:p>
        </w:tc>
        <w:tc>
          <w:tcPr>
            <w:tcW w:w="2434" w:type="pct"/>
            <w:vAlign w:val="center"/>
          </w:tcPr>
          <w:p w14:paraId="59996264">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ascii="Times New Roman" w:hAnsi="Times New Roman" w:eastAsia="仿宋" w:cs="Times New Roman"/>
                <w:b/>
                <w:bCs/>
                <w:color w:val="auto"/>
                <w:spacing w:val="-11"/>
                <w:kern w:val="0"/>
                <w:sz w:val="24"/>
                <w:szCs w:val="24"/>
                <w:lang w:val="zh-CN" w:bidi="zh-CN"/>
              </w:rPr>
            </w:pPr>
            <w:r>
              <w:rPr>
                <w:rFonts w:hint="eastAsia" w:ascii="Times New Roman" w:hAnsi="Times New Roman" w:eastAsia="仿宋" w:cs="Times New Roman"/>
                <w:color w:val="auto"/>
                <w:kern w:val="0"/>
                <w:sz w:val="24"/>
                <w:szCs w:val="24"/>
                <w:lang w:val="zh-CN" w:bidi="zh-CN"/>
              </w:rPr>
              <w:t>运动技能掌握（期末考核通过率）</w:t>
            </w:r>
          </w:p>
        </w:tc>
        <w:tc>
          <w:tcPr>
            <w:tcW w:w="1213" w:type="pct"/>
            <w:vAlign w:val="center"/>
          </w:tcPr>
          <w:p w14:paraId="69B0E4F5">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仿宋" w:hAnsi="仿宋" w:eastAsia="仿宋" w:cs="Times New Roman"/>
                <w:color w:val="auto"/>
                <w:spacing w:val="-11"/>
                <w:kern w:val="0"/>
                <w:sz w:val="24"/>
                <w:szCs w:val="24"/>
                <w:lang w:val="zh-CN" w:bidi="zh-CN"/>
              </w:rPr>
            </w:pPr>
            <w:r>
              <w:rPr>
                <w:rFonts w:hint="eastAsia" w:ascii="仿宋" w:hAnsi="仿宋" w:eastAsia="仿宋" w:cs="Times New Roman"/>
                <w:color w:val="auto"/>
                <w:kern w:val="0"/>
                <w:sz w:val="24"/>
                <w:szCs w:val="24"/>
                <w:lang w:val="zh-CN" w:bidi="zh-CN"/>
              </w:rPr>
              <w:t>88.3</w:t>
            </w:r>
          </w:p>
        </w:tc>
        <w:tc>
          <w:tcPr>
            <w:tcW w:w="497" w:type="pct"/>
            <w:vAlign w:val="center"/>
          </w:tcPr>
          <w:p w14:paraId="7F7D11D1">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仿宋" w:hAnsi="仿宋" w:eastAsia="仿宋" w:cs="Times New Roman"/>
                <w:color w:val="auto"/>
                <w:spacing w:val="-11"/>
                <w:kern w:val="0"/>
                <w:sz w:val="24"/>
                <w:szCs w:val="24"/>
                <w:lang w:val="zh-CN" w:bidi="zh-CN"/>
              </w:rPr>
            </w:pPr>
            <w:r>
              <w:rPr>
                <w:rFonts w:hint="eastAsia" w:ascii="仿宋" w:hAnsi="仿宋" w:eastAsia="仿宋" w:cs="Times New Roman"/>
                <w:color w:val="auto"/>
                <w:spacing w:val="-11"/>
                <w:kern w:val="0"/>
                <w:sz w:val="24"/>
                <w:szCs w:val="24"/>
                <w:lang w:val="zh-CN" w:bidi="zh-CN"/>
              </w:rPr>
              <w:t>良好</w:t>
            </w:r>
          </w:p>
        </w:tc>
      </w:tr>
      <w:tr w14:paraId="71AC8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5" w:type="pct"/>
            <w:vAlign w:val="center"/>
          </w:tcPr>
          <w:p w14:paraId="51E69316">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ascii="Times New Roman" w:hAnsi="Times New Roman" w:eastAsia="仿宋" w:cs="Times New Roman"/>
                <w:b/>
                <w:bCs/>
                <w:color w:val="auto"/>
                <w:spacing w:val="-11"/>
                <w:kern w:val="0"/>
                <w:sz w:val="24"/>
                <w:szCs w:val="24"/>
                <w:lang w:val="zh-CN" w:bidi="zh-CN"/>
              </w:rPr>
            </w:pPr>
            <w:r>
              <w:rPr>
                <w:rFonts w:hint="eastAsia" w:ascii="Times New Roman" w:hAnsi="Times New Roman" w:eastAsia="仿宋" w:cs="Times New Roman"/>
                <w:b/>
                <w:bCs/>
                <w:color w:val="auto"/>
                <w:spacing w:val="-11"/>
                <w:kern w:val="0"/>
                <w:sz w:val="24"/>
                <w:szCs w:val="24"/>
                <w:lang w:val="zh-CN" w:bidi="zh-CN"/>
              </w:rPr>
              <w:t>理科类</w:t>
            </w:r>
          </w:p>
        </w:tc>
        <w:tc>
          <w:tcPr>
            <w:tcW w:w="2434" w:type="pct"/>
            <w:vAlign w:val="center"/>
          </w:tcPr>
          <w:p w14:paraId="04D19FDF">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ascii="Times New Roman" w:hAnsi="Times New Roman" w:eastAsia="仿宋" w:cs="Times New Roman"/>
                <w:b/>
                <w:bCs/>
                <w:color w:val="auto"/>
                <w:spacing w:val="-11"/>
                <w:kern w:val="0"/>
                <w:sz w:val="24"/>
                <w:szCs w:val="24"/>
                <w:lang w:val="zh-CN" w:bidi="zh-CN"/>
              </w:rPr>
            </w:pPr>
            <w:r>
              <w:rPr>
                <w:rFonts w:hint="eastAsia" w:ascii="Times New Roman" w:hAnsi="Times New Roman" w:eastAsia="仿宋" w:cs="Times New Roman"/>
                <w:color w:val="auto"/>
                <w:kern w:val="0"/>
                <w:sz w:val="24"/>
                <w:szCs w:val="24"/>
                <w:lang w:val="zh-CN" w:bidi="zh-CN"/>
              </w:rPr>
              <w:t>身体素质提升（体能测试达标率）</w:t>
            </w:r>
          </w:p>
        </w:tc>
        <w:tc>
          <w:tcPr>
            <w:tcW w:w="1213" w:type="pct"/>
            <w:vAlign w:val="center"/>
          </w:tcPr>
          <w:p w14:paraId="10A9B25C">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仿宋" w:hAnsi="仿宋" w:eastAsia="仿宋" w:cs="Times New Roman"/>
                <w:color w:val="auto"/>
                <w:spacing w:val="-11"/>
                <w:kern w:val="0"/>
                <w:sz w:val="24"/>
                <w:szCs w:val="24"/>
                <w:lang w:val="zh-CN" w:bidi="zh-CN"/>
              </w:rPr>
            </w:pPr>
            <w:r>
              <w:rPr>
                <w:rFonts w:hint="eastAsia" w:ascii="仿宋" w:hAnsi="仿宋" w:eastAsia="仿宋" w:cs="Times New Roman"/>
                <w:color w:val="auto"/>
                <w:kern w:val="0"/>
                <w:sz w:val="24"/>
                <w:szCs w:val="24"/>
                <w:lang w:val="zh-CN" w:bidi="zh-CN"/>
              </w:rPr>
              <w:t>90.1</w:t>
            </w:r>
          </w:p>
        </w:tc>
        <w:tc>
          <w:tcPr>
            <w:tcW w:w="497" w:type="pct"/>
            <w:vAlign w:val="center"/>
          </w:tcPr>
          <w:p w14:paraId="09577DFC">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仿宋" w:hAnsi="仿宋" w:eastAsia="仿宋" w:cs="Times New Roman"/>
                <w:color w:val="auto"/>
                <w:spacing w:val="-11"/>
                <w:kern w:val="0"/>
                <w:sz w:val="24"/>
                <w:szCs w:val="24"/>
                <w:lang w:val="zh-CN" w:bidi="zh-CN"/>
              </w:rPr>
            </w:pPr>
            <w:r>
              <w:rPr>
                <w:rFonts w:hint="eastAsia" w:ascii="仿宋" w:hAnsi="仿宋" w:eastAsia="仿宋" w:cs="Times New Roman"/>
                <w:color w:val="auto"/>
                <w:spacing w:val="-11"/>
                <w:kern w:val="0"/>
                <w:sz w:val="24"/>
                <w:szCs w:val="24"/>
                <w:lang w:val="zh-CN" w:bidi="zh-CN"/>
              </w:rPr>
              <w:t>优秀</w:t>
            </w:r>
          </w:p>
        </w:tc>
      </w:tr>
      <w:tr w14:paraId="0E357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5" w:type="pct"/>
            <w:vAlign w:val="center"/>
          </w:tcPr>
          <w:p w14:paraId="1613F1BE">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ascii="Times New Roman" w:hAnsi="Times New Roman" w:eastAsia="仿宋" w:cs="Times New Roman"/>
                <w:b/>
                <w:bCs/>
                <w:color w:val="auto"/>
                <w:spacing w:val="-11"/>
                <w:kern w:val="0"/>
                <w:sz w:val="24"/>
                <w:szCs w:val="24"/>
                <w:lang w:val="zh-CN" w:bidi="zh-CN"/>
              </w:rPr>
            </w:pPr>
          </w:p>
        </w:tc>
        <w:tc>
          <w:tcPr>
            <w:tcW w:w="2434" w:type="pct"/>
            <w:vAlign w:val="center"/>
          </w:tcPr>
          <w:p w14:paraId="3AFE2679">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ascii="Times New Roman" w:hAnsi="Times New Roman" w:eastAsia="仿宋" w:cs="Times New Roman"/>
                <w:b/>
                <w:bCs/>
                <w:color w:val="auto"/>
                <w:spacing w:val="-11"/>
                <w:kern w:val="0"/>
                <w:sz w:val="24"/>
                <w:szCs w:val="24"/>
                <w:lang w:val="zh-CN" w:bidi="zh-CN"/>
              </w:rPr>
            </w:pPr>
            <w:r>
              <w:rPr>
                <w:rFonts w:hint="eastAsia" w:ascii="Times New Roman" w:hAnsi="Times New Roman" w:eastAsia="仿宋" w:cs="Times New Roman"/>
                <w:color w:val="auto"/>
                <w:kern w:val="0"/>
                <w:sz w:val="24"/>
                <w:szCs w:val="24"/>
                <w:lang w:val="zh-CN" w:bidi="zh-CN"/>
              </w:rPr>
              <w:t>运动技能掌握（期末考核通过率）</w:t>
            </w:r>
          </w:p>
        </w:tc>
        <w:tc>
          <w:tcPr>
            <w:tcW w:w="1213" w:type="pct"/>
            <w:vAlign w:val="center"/>
          </w:tcPr>
          <w:p w14:paraId="04DEA64E">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仿宋" w:hAnsi="仿宋" w:eastAsia="仿宋" w:cs="Times New Roman"/>
                <w:color w:val="auto"/>
                <w:spacing w:val="-11"/>
                <w:kern w:val="0"/>
                <w:sz w:val="24"/>
                <w:szCs w:val="24"/>
                <w:lang w:val="zh-CN" w:bidi="zh-CN"/>
              </w:rPr>
            </w:pPr>
            <w:r>
              <w:rPr>
                <w:rFonts w:hint="eastAsia" w:ascii="仿宋" w:hAnsi="仿宋" w:eastAsia="仿宋" w:cs="Times New Roman"/>
                <w:color w:val="auto"/>
                <w:kern w:val="0"/>
                <w:sz w:val="24"/>
                <w:szCs w:val="24"/>
                <w:lang w:val="zh-CN" w:bidi="zh-CN"/>
              </w:rPr>
              <w:t>85.7</w:t>
            </w:r>
          </w:p>
        </w:tc>
        <w:tc>
          <w:tcPr>
            <w:tcW w:w="497" w:type="pct"/>
            <w:vAlign w:val="center"/>
          </w:tcPr>
          <w:p w14:paraId="23154941">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仿宋" w:hAnsi="仿宋" w:eastAsia="仿宋" w:cs="Times New Roman"/>
                <w:color w:val="auto"/>
                <w:spacing w:val="-11"/>
                <w:kern w:val="0"/>
                <w:sz w:val="24"/>
                <w:szCs w:val="24"/>
                <w:lang w:val="zh-CN" w:bidi="zh-CN"/>
              </w:rPr>
            </w:pPr>
            <w:r>
              <w:rPr>
                <w:rFonts w:hint="eastAsia" w:ascii="仿宋" w:hAnsi="仿宋" w:eastAsia="仿宋" w:cs="Times New Roman"/>
                <w:color w:val="auto"/>
                <w:spacing w:val="-11"/>
                <w:kern w:val="0"/>
                <w:sz w:val="24"/>
                <w:szCs w:val="24"/>
                <w:lang w:val="zh-CN" w:bidi="zh-CN"/>
              </w:rPr>
              <w:t>良好</w:t>
            </w:r>
          </w:p>
        </w:tc>
      </w:tr>
      <w:tr w14:paraId="7530A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5" w:type="pct"/>
            <w:vAlign w:val="center"/>
          </w:tcPr>
          <w:p w14:paraId="1DEF3B64">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仿宋" w:hAnsi="仿宋" w:eastAsia="仿宋" w:cs="Times New Roman"/>
                <w:b/>
                <w:bCs/>
                <w:color w:val="auto"/>
                <w:kern w:val="0"/>
                <w:sz w:val="24"/>
                <w:szCs w:val="24"/>
                <w:lang w:val="zh-CN" w:bidi="zh-CN"/>
              </w:rPr>
            </w:pPr>
            <w:r>
              <w:rPr>
                <w:rFonts w:hint="eastAsia" w:ascii="仿宋" w:hAnsi="仿宋" w:eastAsia="仿宋" w:cs="Times New Roman"/>
                <w:b/>
                <w:bCs/>
                <w:color w:val="auto"/>
                <w:kern w:val="0"/>
                <w:sz w:val="24"/>
                <w:szCs w:val="24"/>
                <w:lang w:val="zh-CN" w:bidi="zh-CN"/>
              </w:rPr>
              <w:t>师范类</w:t>
            </w:r>
          </w:p>
        </w:tc>
        <w:tc>
          <w:tcPr>
            <w:tcW w:w="2434" w:type="pct"/>
            <w:vAlign w:val="center"/>
          </w:tcPr>
          <w:p w14:paraId="35282976">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仿宋" w:hAnsi="仿宋" w:eastAsia="仿宋" w:cs="Times New Roman"/>
                <w:color w:val="auto"/>
                <w:kern w:val="0"/>
                <w:sz w:val="24"/>
                <w:szCs w:val="24"/>
                <w:lang w:val="zh-CN" w:bidi="zh-CN"/>
              </w:rPr>
            </w:pPr>
            <w:r>
              <w:rPr>
                <w:rFonts w:hint="eastAsia" w:ascii="仿宋" w:hAnsi="仿宋" w:eastAsia="仿宋" w:cs="Times New Roman"/>
                <w:color w:val="auto"/>
                <w:kern w:val="0"/>
                <w:sz w:val="24"/>
                <w:szCs w:val="24"/>
                <w:lang w:val="zh-CN" w:bidi="zh-CN"/>
              </w:rPr>
              <w:t>体育精神内化（课外活动参与率）</w:t>
            </w:r>
          </w:p>
        </w:tc>
        <w:tc>
          <w:tcPr>
            <w:tcW w:w="1213" w:type="pct"/>
            <w:vAlign w:val="center"/>
          </w:tcPr>
          <w:p w14:paraId="49A83053">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仿宋" w:hAnsi="仿宋" w:eastAsia="仿宋" w:cs="Times New Roman"/>
                <w:color w:val="auto"/>
                <w:kern w:val="0"/>
                <w:sz w:val="24"/>
                <w:szCs w:val="24"/>
                <w:lang w:val="zh-CN" w:bidi="zh-CN"/>
              </w:rPr>
            </w:pPr>
            <w:r>
              <w:rPr>
                <w:rFonts w:hint="eastAsia" w:ascii="仿宋" w:hAnsi="仿宋" w:eastAsia="仿宋" w:cs="Times New Roman"/>
                <w:color w:val="auto"/>
                <w:kern w:val="0"/>
                <w:sz w:val="24"/>
                <w:szCs w:val="24"/>
                <w:lang w:val="zh-CN" w:bidi="zh-CN"/>
              </w:rPr>
              <w:t>78.4</w:t>
            </w:r>
          </w:p>
        </w:tc>
        <w:tc>
          <w:tcPr>
            <w:tcW w:w="497" w:type="pct"/>
            <w:vAlign w:val="center"/>
          </w:tcPr>
          <w:p w14:paraId="36FF6023">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仿宋" w:hAnsi="仿宋" w:eastAsia="仿宋" w:cs="Times New Roman"/>
                <w:color w:val="auto"/>
                <w:spacing w:val="-11"/>
                <w:kern w:val="0"/>
                <w:sz w:val="24"/>
                <w:szCs w:val="24"/>
                <w:lang w:val="zh-CN" w:bidi="zh-CN"/>
              </w:rPr>
            </w:pPr>
            <w:r>
              <w:rPr>
                <w:rFonts w:hint="eastAsia" w:ascii="仿宋" w:hAnsi="仿宋" w:eastAsia="仿宋" w:cs="Times New Roman"/>
                <w:color w:val="auto"/>
                <w:spacing w:val="-11"/>
                <w:kern w:val="0"/>
                <w:sz w:val="24"/>
                <w:szCs w:val="24"/>
                <w:lang w:val="zh-CN" w:bidi="zh-CN"/>
              </w:rPr>
              <w:t>合格</w:t>
            </w:r>
          </w:p>
        </w:tc>
      </w:tr>
      <w:tr w14:paraId="293B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5" w:type="pct"/>
            <w:vAlign w:val="center"/>
          </w:tcPr>
          <w:p w14:paraId="757DB571">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仿宋" w:hAnsi="仿宋" w:eastAsia="仿宋" w:cs="Times New Roman"/>
                <w:color w:val="auto"/>
                <w:kern w:val="0"/>
                <w:sz w:val="24"/>
                <w:szCs w:val="24"/>
                <w:lang w:val="zh-CN" w:bidi="zh-CN"/>
              </w:rPr>
            </w:pPr>
          </w:p>
        </w:tc>
        <w:tc>
          <w:tcPr>
            <w:tcW w:w="2434" w:type="pct"/>
            <w:vAlign w:val="center"/>
          </w:tcPr>
          <w:p w14:paraId="549BD041">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仿宋" w:hAnsi="仿宋" w:eastAsia="仿宋" w:cs="Times New Roman"/>
                <w:color w:val="auto"/>
                <w:kern w:val="0"/>
                <w:sz w:val="24"/>
                <w:szCs w:val="24"/>
                <w:lang w:val="zh-CN" w:bidi="zh-CN"/>
              </w:rPr>
            </w:pPr>
            <w:r>
              <w:rPr>
                <w:rFonts w:hint="eastAsia" w:ascii="仿宋" w:hAnsi="仿宋" w:eastAsia="仿宋" w:cs="Times New Roman"/>
                <w:color w:val="auto"/>
                <w:kern w:val="0"/>
                <w:sz w:val="24"/>
                <w:szCs w:val="24"/>
                <w:lang w:val="zh-CN" w:bidi="zh-CN"/>
              </w:rPr>
              <w:t>教学实践能力（实习评价优秀率）</w:t>
            </w:r>
          </w:p>
        </w:tc>
        <w:tc>
          <w:tcPr>
            <w:tcW w:w="1213" w:type="pct"/>
            <w:vAlign w:val="center"/>
          </w:tcPr>
          <w:p w14:paraId="44CD2803">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仿宋" w:hAnsi="仿宋" w:eastAsia="仿宋" w:cs="Times New Roman"/>
                <w:color w:val="auto"/>
                <w:kern w:val="0"/>
                <w:sz w:val="24"/>
                <w:szCs w:val="24"/>
                <w:lang w:val="zh-CN" w:bidi="zh-CN"/>
              </w:rPr>
            </w:pPr>
            <w:r>
              <w:rPr>
                <w:rFonts w:hint="eastAsia" w:ascii="仿宋" w:hAnsi="仿宋" w:eastAsia="仿宋" w:cs="Times New Roman"/>
                <w:color w:val="auto"/>
                <w:kern w:val="0"/>
                <w:sz w:val="24"/>
                <w:szCs w:val="24"/>
                <w:lang w:val="zh-CN" w:bidi="zh-CN"/>
              </w:rPr>
              <w:t>83.6</w:t>
            </w:r>
          </w:p>
        </w:tc>
        <w:tc>
          <w:tcPr>
            <w:tcW w:w="497" w:type="pct"/>
            <w:vAlign w:val="center"/>
          </w:tcPr>
          <w:p w14:paraId="6D6AFC1A">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仿宋" w:hAnsi="仿宋" w:eastAsia="仿宋" w:cs="Times New Roman"/>
                <w:color w:val="auto"/>
                <w:spacing w:val="-11"/>
                <w:kern w:val="0"/>
                <w:sz w:val="24"/>
                <w:szCs w:val="24"/>
                <w:lang w:val="zh-CN" w:bidi="zh-CN"/>
              </w:rPr>
            </w:pPr>
            <w:r>
              <w:rPr>
                <w:rFonts w:hint="eastAsia" w:ascii="仿宋" w:hAnsi="仿宋" w:eastAsia="仿宋" w:cs="Times New Roman"/>
                <w:color w:val="auto"/>
                <w:spacing w:val="-11"/>
                <w:kern w:val="0"/>
                <w:sz w:val="24"/>
                <w:szCs w:val="24"/>
                <w:lang w:val="zh-CN" w:bidi="zh-CN"/>
              </w:rPr>
              <w:t>良好</w:t>
            </w:r>
          </w:p>
        </w:tc>
      </w:tr>
    </w:tbl>
    <w:p w14:paraId="16AE7590">
      <w:pPr>
        <w:autoSpaceDE w:val="0"/>
        <w:autoSpaceDN w:val="0"/>
        <w:spacing w:line="360" w:lineRule="auto"/>
        <w:ind w:left="0" w:leftChars="0" w:firstLine="0" w:firstLineChars="0"/>
        <w:jc w:val="center"/>
        <w:rPr>
          <w:rFonts w:hint="eastAsia" w:ascii="仿宋" w:hAnsi="仿宋" w:eastAsia="仿宋" w:cs="仿宋"/>
          <w:b/>
          <w:bCs/>
          <w:color w:val="auto"/>
          <w:spacing w:val="-11"/>
          <w:kern w:val="0"/>
          <w:sz w:val="28"/>
          <w:szCs w:val="28"/>
          <w:lang w:val="zh-CN" w:bidi="zh-CN"/>
        </w:rPr>
      </w:pPr>
      <w:r>
        <w:rPr>
          <w:rFonts w:hint="eastAsia" w:ascii="仿宋" w:hAnsi="仿宋" w:eastAsia="仿宋" w:cs="仿宋"/>
          <w:b/>
          <w:bCs/>
          <w:color w:val="auto"/>
        </w:rPr>
        <w:t>核心数据统计（2022-2024学年）</w:t>
      </w:r>
    </w:p>
    <w:p w14:paraId="32C49A7E">
      <w:pPr>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仿宋"/>
          <w:color w:val="auto"/>
          <w:kern w:val="0"/>
          <w:sz w:val="28"/>
          <w:szCs w:val="28"/>
          <w:lang w:val="zh-CN" w:bidi="zh-CN"/>
        </w:rPr>
      </w:pPr>
      <w:r>
        <w:rPr>
          <w:rFonts w:hint="eastAsia" w:ascii="仿宋" w:hAnsi="仿宋" w:eastAsia="仿宋" w:cs="仿宋"/>
          <w:color w:val="auto"/>
          <w:kern w:val="0"/>
          <w:sz w:val="28"/>
          <w:szCs w:val="28"/>
          <w:lang w:val="zh-CN" w:bidi="zh-CN"/>
        </w:rPr>
        <w:t>我部体育教学旨在全方位培养学生的身心健康、运动技能与体育精神。从身体素质培养来看，多数学生通过课程锻炼，心肺功能、肌肉力量等得到提升，体能测试达标率较高，表明基本身体素质的培养目标大致达成。在运动技能方面，学生根据兴趣选择不同项目课程，如球类、武术、啦啦操等，大部分学生能够掌握所选项目的基本动作与规则，在期末考核的技能展示环节表现良好。然而，体育精神的培养略有欠缺。虽然团队项目上学生有协作意识，但在日常生活中的运动自觉和对体育价值观的内化还不够深入。提升体育精神，需更多课外拓展及激励机制。</w:t>
      </w:r>
    </w:p>
    <w:p w14:paraId="77C55DA3">
      <w:pPr>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ascii="Times New Roman" w:hAnsi="Times New Roman" w:eastAsia="仿宋" w:cs="Times New Roman"/>
          <w:color w:val="auto"/>
          <w:kern w:val="0"/>
          <w:sz w:val="28"/>
          <w:szCs w:val="28"/>
          <w:lang w:val="zh-CN" w:bidi="zh-CN"/>
        </w:rPr>
      </w:pPr>
      <w:r>
        <w:rPr>
          <w:rFonts w:hint="eastAsia" w:ascii="Times New Roman" w:hAnsi="Times New Roman" w:eastAsia="仿宋" w:cs="Times New Roman"/>
          <w:color w:val="auto"/>
          <w:kern w:val="0"/>
          <w:sz w:val="28"/>
          <w:szCs w:val="28"/>
          <w:lang w:val="zh-CN" w:bidi="zh-CN"/>
        </w:rPr>
        <w:t>三、改进措施（2025年目标）</w:t>
      </w:r>
    </w:p>
    <w:p w14:paraId="1E153455">
      <w:pPr>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Times New Roman"/>
          <w:color w:val="auto"/>
          <w:kern w:val="0"/>
          <w:sz w:val="28"/>
          <w:szCs w:val="28"/>
          <w:lang w:val="zh-CN" w:bidi="zh-CN"/>
        </w:rPr>
      </w:pPr>
      <w:r>
        <w:rPr>
          <w:rFonts w:hint="eastAsia" w:ascii="仿宋" w:hAnsi="仿宋" w:eastAsia="仿宋" w:cs="Times New Roman"/>
          <w:color w:val="auto"/>
          <w:kern w:val="0"/>
          <w:sz w:val="28"/>
          <w:szCs w:val="28"/>
          <w:lang w:val="zh-CN" w:bidi="zh-CN"/>
        </w:rPr>
        <w:t>1.课程内容更新：每学期修订10%的课程内容，新增“体育科技应用”、“运动康复”等前沿课程内容。</w:t>
      </w:r>
    </w:p>
    <w:p w14:paraId="1FD51929">
      <w:pPr>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Times New Roman"/>
          <w:color w:val="auto"/>
          <w:kern w:val="0"/>
          <w:sz w:val="28"/>
          <w:szCs w:val="28"/>
          <w:lang w:val="zh-CN" w:bidi="zh-CN"/>
        </w:rPr>
      </w:pPr>
      <w:r>
        <w:rPr>
          <w:rFonts w:hint="eastAsia" w:ascii="仿宋" w:hAnsi="仿宋" w:eastAsia="仿宋" w:cs="Times New Roman"/>
          <w:color w:val="auto"/>
          <w:kern w:val="0"/>
          <w:sz w:val="28"/>
          <w:szCs w:val="28"/>
          <w:lang w:val="zh-CN" w:bidi="zh-CN"/>
        </w:rPr>
        <w:t>2.实践能力强化：师范类专业实践课时占比提升至35%，增设“教学模拟实训周”。</w:t>
      </w:r>
    </w:p>
    <w:p w14:paraId="4013C4F8">
      <w:pPr>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Times New Roman"/>
          <w:color w:val="auto"/>
          <w:kern w:val="0"/>
          <w:sz w:val="28"/>
          <w:szCs w:val="28"/>
          <w:lang w:val="zh-CN" w:bidi="zh-CN"/>
        </w:rPr>
      </w:pPr>
      <w:r>
        <w:rPr>
          <w:rFonts w:hint="eastAsia" w:ascii="仿宋" w:hAnsi="仿宋" w:eastAsia="仿宋" w:cs="Times New Roman"/>
          <w:color w:val="auto"/>
          <w:kern w:val="0"/>
          <w:sz w:val="28"/>
          <w:szCs w:val="28"/>
          <w:lang w:val="zh-CN" w:bidi="zh-CN"/>
        </w:rPr>
        <w:t>3.体育精神培养：开展“体育文化月”活动，覆盖100%在校生，建立学生运动积分激励制度。</w:t>
      </w:r>
    </w:p>
    <w:p w14:paraId="642CF66E">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zh-CN" w:eastAsia="zh-CN"/>
        </w:rPr>
      </w:pPr>
      <w:bookmarkStart w:id="164" w:name="_Toc19565"/>
      <w:bookmarkStart w:id="165" w:name="_Toc14198"/>
      <w:r>
        <w:rPr>
          <w:rFonts w:hint="eastAsia" w:ascii="仿宋" w:hAnsi="仿宋" w:eastAsia="仿宋" w:cs="仿宋"/>
          <w:b/>
          <w:bCs/>
          <w:color w:val="auto"/>
          <w:sz w:val="28"/>
          <w:szCs w:val="28"/>
          <w:lang w:val="zh-CN" w:eastAsia="zh-CN"/>
        </w:rPr>
        <w:t>7.1.2建立毕业生质量持续跟踪评价机制，有效使用跟踪评价结果</w:t>
      </w:r>
      <w:bookmarkEnd w:id="164"/>
      <w:bookmarkEnd w:id="165"/>
    </w:p>
    <w:p w14:paraId="5C88567B">
      <w:pPr>
        <w:pageBreakBefore w:val="0"/>
        <w:widowControl w:val="0"/>
        <w:kinsoku/>
        <w:wordWrap/>
        <w:overflowPunct/>
        <w:topLinePunct w:val="0"/>
        <w:autoSpaceDE w:val="0"/>
        <w:autoSpaceDN w:val="0"/>
        <w:bidi w:val="0"/>
        <w:adjustRightInd/>
        <w:snapToGrid/>
        <w:spacing w:line="500" w:lineRule="exact"/>
        <w:ind w:firstLine="562" w:firstLineChars="200"/>
        <w:jc w:val="left"/>
        <w:textAlignment w:val="auto"/>
        <w:rPr>
          <w:rFonts w:ascii="Times New Roman" w:hAnsi="Times New Roman" w:eastAsia="仿宋" w:cs="Times New Roman"/>
          <w:b/>
          <w:bCs/>
          <w:color w:val="auto"/>
          <w:kern w:val="0"/>
          <w:sz w:val="28"/>
          <w:szCs w:val="28"/>
          <w:lang w:val="zh-CN" w:bidi="zh-CN"/>
        </w:rPr>
      </w:pPr>
      <w:r>
        <w:rPr>
          <w:rFonts w:hint="eastAsia" w:ascii="Times New Roman" w:hAnsi="Times New Roman" w:eastAsia="仿宋" w:cs="Times New Roman"/>
          <w:b/>
          <w:bCs/>
          <w:color w:val="auto"/>
          <w:kern w:val="0"/>
          <w:sz w:val="28"/>
          <w:szCs w:val="28"/>
          <w:lang w:val="zh-CN" w:bidi="zh-CN"/>
        </w:rPr>
        <w:t>一、毕业生质量跟踪评价机制的核心数据（近三年毕业生跟踪）</w:t>
      </w:r>
    </w:p>
    <w:p w14:paraId="40C5D84F">
      <w:pPr>
        <w:pageBreakBefore w:val="0"/>
        <w:widowControl w:val="0"/>
        <w:kinsoku/>
        <w:wordWrap/>
        <w:overflowPunct/>
        <w:topLinePunct w:val="0"/>
        <w:autoSpaceDE w:val="0"/>
        <w:autoSpaceDN w:val="0"/>
        <w:bidi w:val="0"/>
        <w:adjustRightInd/>
        <w:snapToGrid/>
        <w:spacing w:line="500" w:lineRule="exact"/>
        <w:ind w:firstLine="518" w:firstLineChars="200"/>
        <w:jc w:val="left"/>
        <w:textAlignment w:val="auto"/>
        <w:rPr>
          <w:rFonts w:hint="eastAsia" w:ascii="仿宋" w:hAnsi="仿宋" w:eastAsia="仿宋" w:cs="Times New Roman"/>
          <w:color w:val="auto"/>
          <w:spacing w:val="-11"/>
          <w:kern w:val="0"/>
          <w:sz w:val="28"/>
          <w:szCs w:val="28"/>
          <w:lang w:val="zh-CN" w:bidi="zh-CN"/>
        </w:rPr>
      </w:pPr>
      <w:r>
        <w:rPr>
          <w:rFonts w:hint="eastAsia" w:ascii="仿宋" w:hAnsi="仿宋" w:eastAsia="仿宋" w:cs="Times New Roman"/>
          <w:b/>
          <w:bCs/>
          <w:color w:val="auto"/>
          <w:spacing w:val="-11"/>
          <w:kern w:val="0"/>
          <w:sz w:val="28"/>
          <w:szCs w:val="28"/>
          <w:lang w:val="zh-CN" w:bidi="zh-CN"/>
        </w:rPr>
        <w:t>跟踪覆盖率：</w:t>
      </w:r>
      <w:r>
        <w:rPr>
          <w:rFonts w:hint="eastAsia" w:ascii="仿宋" w:hAnsi="仿宋" w:eastAsia="仿宋" w:cs="Times New Roman"/>
          <w:color w:val="auto"/>
          <w:spacing w:val="-11"/>
          <w:kern w:val="0"/>
          <w:sz w:val="28"/>
          <w:szCs w:val="28"/>
          <w:lang w:val="zh-CN" w:bidi="zh-CN"/>
        </w:rPr>
        <w:t>由2022年75% 提升至 2024年92%（通过校企合作平台实现数据动态更新）。</w:t>
      </w:r>
    </w:p>
    <w:p w14:paraId="0373FF55">
      <w:pPr>
        <w:pageBreakBefore w:val="0"/>
        <w:widowControl w:val="0"/>
        <w:kinsoku/>
        <w:wordWrap/>
        <w:overflowPunct/>
        <w:topLinePunct w:val="0"/>
        <w:autoSpaceDE w:val="0"/>
        <w:autoSpaceDN w:val="0"/>
        <w:bidi w:val="0"/>
        <w:adjustRightInd/>
        <w:snapToGrid/>
        <w:spacing w:line="500" w:lineRule="exact"/>
        <w:ind w:firstLine="516" w:firstLineChars="200"/>
        <w:jc w:val="left"/>
        <w:textAlignment w:val="auto"/>
        <w:rPr>
          <w:rFonts w:hint="eastAsia" w:ascii="仿宋" w:hAnsi="仿宋" w:eastAsia="仿宋" w:cs="Times New Roman"/>
          <w:color w:val="auto"/>
          <w:spacing w:val="-11"/>
          <w:kern w:val="0"/>
          <w:sz w:val="28"/>
          <w:szCs w:val="28"/>
          <w:lang w:val="zh-CN" w:bidi="zh-CN"/>
        </w:rPr>
      </w:pPr>
      <w:r>
        <w:rPr>
          <w:rFonts w:hint="eastAsia" w:ascii="仿宋" w:hAnsi="仿宋" w:eastAsia="仿宋" w:cs="Times New Roman"/>
          <w:color w:val="auto"/>
          <w:spacing w:val="-11"/>
          <w:kern w:val="0"/>
          <w:sz w:val="28"/>
          <w:szCs w:val="28"/>
          <w:lang w:val="zh-CN" w:bidi="zh-CN"/>
        </w:rPr>
        <w:t>（1）建立毕业生信息数据库：详细记录毕业生的个人信息、联系方式、就业去向等，以便后续跟踪调查。</w:t>
      </w:r>
    </w:p>
    <w:p w14:paraId="2B21C01C">
      <w:pPr>
        <w:pageBreakBefore w:val="0"/>
        <w:widowControl w:val="0"/>
        <w:kinsoku/>
        <w:wordWrap/>
        <w:overflowPunct/>
        <w:topLinePunct w:val="0"/>
        <w:autoSpaceDE w:val="0"/>
        <w:autoSpaceDN w:val="0"/>
        <w:bidi w:val="0"/>
        <w:adjustRightInd/>
        <w:snapToGrid/>
        <w:spacing w:line="500" w:lineRule="exact"/>
        <w:ind w:firstLine="516" w:firstLineChars="200"/>
        <w:jc w:val="left"/>
        <w:textAlignment w:val="auto"/>
        <w:rPr>
          <w:rFonts w:hint="eastAsia" w:ascii="仿宋" w:hAnsi="仿宋" w:eastAsia="仿宋" w:cs="Times New Roman"/>
          <w:color w:val="auto"/>
          <w:spacing w:val="-11"/>
          <w:kern w:val="0"/>
          <w:sz w:val="28"/>
          <w:szCs w:val="28"/>
          <w:lang w:val="zh-CN" w:bidi="zh-CN"/>
        </w:rPr>
      </w:pPr>
      <w:r>
        <w:rPr>
          <w:rFonts w:hint="eastAsia" w:ascii="仿宋" w:hAnsi="仿宋" w:eastAsia="仿宋" w:cs="Times New Roman"/>
          <w:color w:val="auto"/>
          <w:spacing w:val="-11"/>
          <w:kern w:val="0"/>
          <w:sz w:val="28"/>
          <w:szCs w:val="28"/>
          <w:lang w:val="zh-CN" w:bidi="zh-CN"/>
        </w:rPr>
        <w:t>（2）定期问卷调查：每隔一段时间，通过线上或线下的方式向毕业生发放问卷，了解他们在工作中的体育相关技能运用、对体育知识的需求、对学校体育教学的反馈等。</w:t>
      </w:r>
    </w:p>
    <w:p w14:paraId="48A6BE4D">
      <w:pPr>
        <w:pageBreakBefore w:val="0"/>
        <w:widowControl w:val="0"/>
        <w:kinsoku/>
        <w:wordWrap/>
        <w:overflowPunct/>
        <w:topLinePunct w:val="0"/>
        <w:autoSpaceDE w:val="0"/>
        <w:autoSpaceDN w:val="0"/>
        <w:bidi w:val="0"/>
        <w:adjustRightInd/>
        <w:snapToGrid/>
        <w:spacing w:line="500" w:lineRule="exact"/>
        <w:ind w:firstLine="516" w:firstLineChars="200"/>
        <w:jc w:val="left"/>
        <w:textAlignment w:val="auto"/>
        <w:rPr>
          <w:rFonts w:hint="eastAsia" w:ascii="仿宋" w:hAnsi="仿宋" w:eastAsia="仿宋" w:cs="Times New Roman"/>
          <w:color w:val="auto"/>
          <w:spacing w:val="-11"/>
          <w:kern w:val="0"/>
          <w:sz w:val="28"/>
          <w:szCs w:val="28"/>
          <w:lang w:val="zh-CN" w:bidi="zh-CN"/>
        </w:rPr>
      </w:pPr>
      <w:r>
        <w:rPr>
          <w:rFonts w:hint="eastAsia" w:ascii="仿宋" w:hAnsi="仿宋" w:eastAsia="仿宋" w:cs="Times New Roman"/>
          <w:color w:val="auto"/>
          <w:spacing w:val="-11"/>
          <w:kern w:val="0"/>
          <w:sz w:val="28"/>
          <w:szCs w:val="28"/>
          <w:lang w:val="zh-CN" w:bidi="zh-CN"/>
        </w:rPr>
        <w:t>（3）实地走访与访谈：选取部分有代表性的毕业生，进行实地走访或电话访谈，深入了解他们的工作现状、职业发展与体育的关联，以及对学校体育教学的具体建议。</w:t>
      </w:r>
    </w:p>
    <w:p w14:paraId="46B69027">
      <w:pPr>
        <w:pageBreakBefore w:val="0"/>
        <w:widowControl w:val="0"/>
        <w:kinsoku/>
        <w:wordWrap/>
        <w:overflowPunct/>
        <w:topLinePunct w:val="0"/>
        <w:autoSpaceDE w:val="0"/>
        <w:autoSpaceDN w:val="0"/>
        <w:bidi w:val="0"/>
        <w:adjustRightInd/>
        <w:snapToGrid/>
        <w:spacing w:line="500" w:lineRule="exact"/>
        <w:ind w:firstLine="516" w:firstLineChars="200"/>
        <w:jc w:val="left"/>
        <w:textAlignment w:val="auto"/>
        <w:rPr>
          <w:rFonts w:hint="eastAsia" w:ascii="仿宋" w:hAnsi="仿宋" w:eastAsia="仿宋" w:cs="Times New Roman"/>
          <w:color w:val="auto"/>
          <w:spacing w:val="-11"/>
          <w:kern w:val="0"/>
          <w:sz w:val="28"/>
          <w:szCs w:val="28"/>
          <w:lang w:val="zh-CN" w:bidi="zh-CN"/>
        </w:rPr>
      </w:pPr>
      <w:r>
        <w:rPr>
          <w:rFonts w:hint="eastAsia" w:ascii="仿宋" w:hAnsi="仿宋" w:eastAsia="仿宋" w:cs="Times New Roman"/>
          <w:color w:val="auto"/>
          <w:spacing w:val="-11"/>
          <w:kern w:val="0"/>
          <w:sz w:val="28"/>
          <w:szCs w:val="28"/>
          <w:lang w:val="zh-CN" w:bidi="zh-CN"/>
        </w:rPr>
        <w:t>（4）与用人单位合作：与毕业生所在的用人单位建立联系，收集用人单位对毕业生体育素养、团队合作能力等方面的评价和反馈。</w:t>
      </w:r>
    </w:p>
    <w:p w14:paraId="20CC6F41">
      <w:pPr>
        <w:pageBreakBefore w:val="0"/>
        <w:widowControl w:val="0"/>
        <w:kinsoku/>
        <w:wordWrap/>
        <w:overflowPunct/>
        <w:topLinePunct w:val="0"/>
        <w:autoSpaceDE w:val="0"/>
        <w:autoSpaceDN w:val="0"/>
        <w:bidi w:val="0"/>
        <w:adjustRightInd/>
        <w:snapToGrid/>
        <w:spacing w:line="500" w:lineRule="exact"/>
        <w:ind w:firstLine="518" w:firstLineChars="200"/>
        <w:jc w:val="left"/>
        <w:textAlignment w:val="auto"/>
        <w:rPr>
          <w:rFonts w:hint="eastAsia" w:ascii="仿宋" w:hAnsi="仿宋" w:eastAsia="仿宋" w:cs="Times New Roman"/>
          <w:color w:val="auto"/>
          <w:spacing w:val="-11"/>
          <w:kern w:val="0"/>
          <w:sz w:val="28"/>
          <w:szCs w:val="28"/>
          <w:lang w:val="zh-CN" w:bidi="zh-CN"/>
        </w:rPr>
      </w:pPr>
      <w:r>
        <w:rPr>
          <w:rFonts w:hint="eastAsia" w:ascii="仿宋" w:hAnsi="仿宋" w:eastAsia="仿宋" w:cs="Times New Roman"/>
          <w:b/>
          <w:bCs/>
          <w:color w:val="auto"/>
          <w:spacing w:val="-11"/>
          <w:kern w:val="0"/>
          <w:sz w:val="28"/>
          <w:szCs w:val="28"/>
          <w:lang w:val="zh-CN" w:bidi="zh-CN"/>
        </w:rPr>
        <w:t>二、评价结果应用：</w:t>
      </w:r>
      <w:r>
        <w:rPr>
          <w:rFonts w:hint="eastAsia" w:ascii="仿宋" w:hAnsi="仿宋" w:eastAsia="仿宋" w:cs="Times New Roman"/>
          <w:color w:val="auto"/>
          <w:spacing w:val="-11"/>
          <w:kern w:val="0"/>
          <w:sz w:val="28"/>
          <w:szCs w:val="28"/>
          <w:lang w:val="zh-CN" w:bidi="zh-CN"/>
        </w:rPr>
        <w:t>根据反馈优化课程3项（如增加啦啦操及球类教学项目的实战教学），改进就业指导服务2项。</w:t>
      </w:r>
    </w:p>
    <w:p w14:paraId="6CAA3733">
      <w:pPr>
        <w:pageBreakBefore w:val="0"/>
        <w:widowControl w:val="0"/>
        <w:kinsoku/>
        <w:wordWrap/>
        <w:overflowPunct/>
        <w:topLinePunct w:val="0"/>
        <w:autoSpaceDE w:val="0"/>
        <w:autoSpaceDN w:val="0"/>
        <w:bidi w:val="0"/>
        <w:adjustRightInd/>
        <w:snapToGrid/>
        <w:spacing w:line="500" w:lineRule="exact"/>
        <w:ind w:firstLine="562" w:firstLineChars="200"/>
        <w:jc w:val="left"/>
        <w:textAlignment w:val="auto"/>
        <w:rPr>
          <w:rFonts w:ascii="Times New Roman" w:hAnsi="Times New Roman" w:eastAsia="仿宋" w:cs="Times New Roman"/>
          <w:color w:val="auto"/>
          <w:kern w:val="0"/>
          <w:sz w:val="28"/>
          <w:szCs w:val="28"/>
          <w:lang w:val="zh-CN" w:bidi="zh-CN"/>
        </w:rPr>
      </w:pPr>
      <w:r>
        <w:rPr>
          <w:rFonts w:hint="eastAsia" w:ascii="仿宋" w:hAnsi="仿宋" w:eastAsia="仿宋" w:cs="Times New Roman"/>
          <w:b/>
          <w:bCs/>
          <w:color w:val="auto"/>
          <w:kern w:val="0"/>
          <w:sz w:val="28"/>
          <w:szCs w:val="28"/>
          <w:lang w:val="zh-CN" w:bidi="zh-CN"/>
        </w:rPr>
        <w:t>三、改进措施（2025年目标）</w:t>
      </w:r>
    </w:p>
    <w:p w14:paraId="317E640C">
      <w:pPr>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ascii="Times New Roman" w:hAnsi="Times New Roman" w:eastAsia="仿宋" w:cs="Times New Roman"/>
          <w:color w:val="auto"/>
          <w:kern w:val="0"/>
          <w:sz w:val="28"/>
          <w:szCs w:val="28"/>
          <w:lang w:val="zh-CN" w:bidi="zh-CN"/>
        </w:rPr>
      </w:pPr>
      <w:r>
        <w:rPr>
          <w:rFonts w:hint="eastAsia" w:ascii="Times New Roman" w:hAnsi="Times New Roman" w:eastAsia="仿宋" w:cs="Times New Roman"/>
          <w:color w:val="auto"/>
          <w:kern w:val="0"/>
          <w:sz w:val="28"/>
          <w:szCs w:val="28"/>
          <w:lang w:val="zh-CN" w:bidi="zh-CN"/>
        </w:rPr>
        <w:t>（1）数据库升级：建立毕业生职业发展档案，实现数据自动分析（目标覆盖率100%）。</w:t>
      </w:r>
    </w:p>
    <w:p w14:paraId="35D80135">
      <w:pPr>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ascii="Times New Roman" w:hAnsi="Times New Roman" w:eastAsia="仿宋" w:cs="Times New Roman"/>
          <w:color w:val="auto"/>
          <w:kern w:val="0"/>
          <w:sz w:val="28"/>
          <w:szCs w:val="28"/>
          <w:lang w:val="zh-CN" w:bidi="zh-CN"/>
        </w:rPr>
      </w:pPr>
      <w:r>
        <w:rPr>
          <w:rFonts w:hint="eastAsia" w:ascii="Times New Roman" w:hAnsi="Times New Roman" w:eastAsia="仿宋" w:cs="Times New Roman"/>
          <w:color w:val="auto"/>
          <w:kern w:val="0"/>
          <w:sz w:val="28"/>
          <w:szCs w:val="28"/>
          <w:lang w:val="zh-CN" w:bidi="zh-CN"/>
        </w:rPr>
        <w:t>（2）校企联动：与10家用人单位签订“人才共育协议”，定期开展毕业生能力评估。</w:t>
      </w:r>
    </w:p>
    <w:p w14:paraId="710BC939">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eastAsia" w:ascii="黑体" w:hAnsi="黑体" w:eastAsia="黑体" w:cs="黑体"/>
          <w:b/>
          <w:bCs/>
          <w:color w:val="auto"/>
          <w:sz w:val="32"/>
          <w:szCs w:val="32"/>
          <w:lang w:val="zh-CN" w:eastAsia="zh-CN"/>
        </w:rPr>
      </w:pPr>
      <w:bookmarkStart w:id="166" w:name="_Hlk182136336"/>
    </w:p>
    <w:p w14:paraId="2F256EED">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eastAsia" w:ascii="黑体" w:hAnsi="黑体" w:eastAsia="黑体" w:cs="黑体"/>
          <w:b/>
          <w:bCs/>
          <w:color w:val="auto"/>
          <w:sz w:val="32"/>
          <w:szCs w:val="32"/>
          <w:lang w:val="zh-CN" w:eastAsia="zh-CN"/>
        </w:rPr>
      </w:pPr>
      <w:bookmarkStart w:id="167" w:name="_Toc4435"/>
      <w:r>
        <w:rPr>
          <w:rFonts w:hint="eastAsia" w:ascii="黑体" w:hAnsi="黑体" w:eastAsia="黑体" w:cs="黑体"/>
          <w:b/>
          <w:bCs/>
          <w:color w:val="auto"/>
          <w:sz w:val="32"/>
          <w:szCs w:val="32"/>
          <w:lang w:val="zh-CN" w:eastAsia="zh-CN"/>
        </w:rPr>
        <w:t>7.</w:t>
      </w:r>
      <w:r>
        <w:rPr>
          <w:rFonts w:hint="eastAsia" w:ascii="黑体" w:hAnsi="黑体" w:eastAsia="黑体" w:cs="黑体"/>
          <w:b/>
          <w:bCs/>
          <w:color w:val="auto"/>
          <w:sz w:val="32"/>
          <w:szCs w:val="32"/>
          <w:lang w:val="en-US" w:eastAsia="zh-CN"/>
        </w:rPr>
        <w:t>2</w:t>
      </w:r>
      <w:r>
        <w:rPr>
          <w:rFonts w:hint="eastAsia" w:ascii="黑体" w:hAnsi="黑体" w:eastAsia="黑体" w:cs="黑体"/>
          <w:b/>
          <w:bCs/>
          <w:color w:val="auto"/>
          <w:sz w:val="32"/>
          <w:szCs w:val="32"/>
          <w:lang w:val="zh-CN" w:eastAsia="zh-CN"/>
        </w:rPr>
        <w:t xml:space="preserve"> 保障度</w:t>
      </w:r>
      <w:bookmarkEnd w:id="167"/>
    </w:p>
    <w:bookmarkEnd w:id="166"/>
    <w:p w14:paraId="48F23DDC">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zh-CN" w:eastAsia="zh-CN"/>
        </w:rPr>
      </w:pPr>
      <w:bookmarkStart w:id="168" w:name="_Toc3693"/>
      <w:bookmarkStart w:id="169" w:name="_Toc11159"/>
      <w:r>
        <w:rPr>
          <w:rFonts w:hint="eastAsia" w:ascii="仿宋" w:hAnsi="仿宋" w:eastAsia="仿宋" w:cs="仿宋"/>
          <w:b/>
          <w:bCs/>
          <w:color w:val="auto"/>
          <w:sz w:val="28"/>
          <w:szCs w:val="28"/>
          <w:lang w:val="zh-CN" w:eastAsia="zh-CN"/>
        </w:rPr>
        <w:t>7.</w:t>
      </w:r>
      <w:r>
        <w:rPr>
          <w:rFonts w:hint="eastAsia" w:ascii="仿宋" w:hAnsi="仿宋" w:eastAsia="仿宋" w:cs="仿宋"/>
          <w:b/>
          <w:bCs/>
          <w:color w:val="auto"/>
          <w:sz w:val="28"/>
          <w:szCs w:val="28"/>
          <w:lang w:val="en-US" w:eastAsia="zh-CN"/>
        </w:rPr>
        <w:t>2</w:t>
      </w:r>
      <w:r>
        <w:rPr>
          <w:rFonts w:hint="eastAsia" w:ascii="仿宋" w:hAnsi="仿宋" w:eastAsia="仿宋" w:cs="仿宋"/>
          <w:b/>
          <w:bCs/>
          <w:color w:val="auto"/>
          <w:sz w:val="28"/>
          <w:szCs w:val="28"/>
          <w:lang w:val="zh-CN" w:eastAsia="zh-CN"/>
        </w:rPr>
        <w:t>.1实</w:t>
      </w:r>
      <w:bookmarkStart w:id="170" w:name="_Hlk182132083"/>
      <w:r>
        <w:rPr>
          <w:rFonts w:hint="eastAsia" w:ascii="仿宋" w:hAnsi="仿宋" w:eastAsia="仿宋" w:cs="仿宋"/>
          <w:b/>
          <w:bCs/>
          <w:color w:val="auto"/>
          <w:sz w:val="28"/>
          <w:szCs w:val="28"/>
          <w:lang w:val="zh-CN" w:eastAsia="zh-CN"/>
        </w:rPr>
        <w:t>验实训室资源条件</w:t>
      </w:r>
      <w:bookmarkEnd w:id="170"/>
      <w:r>
        <w:rPr>
          <w:rFonts w:hint="eastAsia" w:ascii="仿宋" w:hAnsi="仿宋" w:eastAsia="仿宋" w:cs="仿宋"/>
          <w:b/>
          <w:bCs/>
          <w:color w:val="auto"/>
          <w:sz w:val="28"/>
          <w:szCs w:val="28"/>
          <w:lang w:val="zh-CN" w:eastAsia="zh-CN"/>
        </w:rPr>
        <w:t>能够满足教学需求</w:t>
      </w:r>
      <w:bookmarkEnd w:id="168"/>
      <w:bookmarkEnd w:id="169"/>
    </w:p>
    <w:p w14:paraId="31EFB430">
      <w:pPr>
        <w:pageBreakBefore w:val="0"/>
        <w:widowControl w:val="0"/>
        <w:kinsoku/>
        <w:wordWrap/>
        <w:overflowPunct/>
        <w:topLinePunct w:val="0"/>
        <w:autoSpaceDE w:val="0"/>
        <w:autoSpaceDN w:val="0"/>
        <w:bidi w:val="0"/>
        <w:adjustRightInd/>
        <w:snapToGrid/>
        <w:spacing w:line="500" w:lineRule="exact"/>
        <w:ind w:right="116" w:firstLine="512" w:firstLineChars="200"/>
        <w:jc w:val="left"/>
        <w:textAlignment w:val="auto"/>
        <w:rPr>
          <w:rFonts w:ascii="Times New Roman" w:hAnsi="Times New Roman" w:eastAsia="仿宋" w:cs="Times New Roman"/>
          <w:b/>
          <w:color w:val="auto"/>
          <w:spacing w:val="-12"/>
          <w:kern w:val="0"/>
          <w:sz w:val="28"/>
          <w:szCs w:val="28"/>
          <w:lang w:val="zh-CN" w:bidi="zh-CN"/>
        </w:rPr>
      </w:pPr>
      <w:bookmarkStart w:id="171" w:name="_Hlk182132159"/>
      <w:r>
        <w:rPr>
          <w:rFonts w:hint="eastAsia" w:ascii="Times New Roman" w:hAnsi="Times New Roman" w:eastAsia="仿宋" w:cs="Times New Roman"/>
          <w:bCs/>
          <w:color w:val="auto"/>
          <w:spacing w:val="-12"/>
          <w:kern w:val="0"/>
          <w:sz w:val="28"/>
          <w:szCs w:val="28"/>
          <w:lang w:val="zh-CN" w:bidi="zh-CN"/>
        </w:rPr>
        <w:t>一、</w:t>
      </w:r>
      <w:r>
        <w:rPr>
          <w:rFonts w:hint="eastAsia" w:ascii="Times New Roman" w:hAnsi="Times New Roman" w:eastAsia="仿宋" w:cs="Times New Roman"/>
          <w:b/>
          <w:color w:val="auto"/>
          <w:spacing w:val="-12"/>
          <w:kern w:val="0"/>
          <w:sz w:val="28"/>
          <w:szCs w:val="28"/>
          <w:lang w:val="zh-CN" w:bidi="zh-CN"/>
        </w:rPr>
        <w:t>验实训室资源条件及利用情况总评</w:t>
      </w:r>
      <w:bookmarkEnd w:id="171"/>
      <w:r>
        <w:rPr>
          <w:rFonts w:hint="eastAsia" w:ascii="Times New Roman" w:hAnsi="Times New Roman" w:eastAsia="仿宋" w:cs="Times New Roman"/>
          <w:b/>
          <w:color w:val="auto"/>
          <w:spacing w:val="-12"/>
          <w:kern w:val="0"/>
          <w:sz w:val="28"/>
          <w:szCs w:val="28"/>
          <w:lang w:val="zh-CN" w:bidi="zh-CN"/>
        </w:rPr>
        <w:t>：</w:t>
      </w:r>
    </w:p>
    <w:p w14:paraId="6A52AA29">
      <w:pPr>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ascii="Times New Roman" w:hAnsi="Times New Roman" w:eastAsia="仿宋" w:cs="Times New Roman"/>
          <w:color w:val="auto"/>
          <w:kern w:val="0"/>
          <w:sz w:val="28"/>
          <w:szCs w:val="28"/>
          <w:lang w:val="zh-CN" w:bidi="zh-CN"/>
        </w:rPr>
      </w:pPr>
      <w:r>
        <w:rPr>
          <w:rFonts w:hint="eastAsia" w:ascii="Times New Roman" w:hAnsi="Times New Roman" w:eastAsia="仿宋" w:cs="Times New Roman"/>
          <w:color w:val="auto"/>
          <w:kern w:val="0"/>
          <w:sz w:val="28"/>
          <w:szCs w:val="28"/>
          <w:lang w:val="zh-CN" w:bidi="zh-CN"/>
        </w:rPr>
        <w:t>（1）场馆面积：生均运动场地3.8㎡（教育部标准：2.5㎡）。</w:t>
      </w:r>
    </w:p>
    <w:p w14:paraId="43686960">
      <w:pPr>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ascii="Times New Roman" w:hAnsi="Times New Roman" w:eastAsia="仿宋" w:cs="Times New Roman"/>
          <w:color w:val="auto"/>
          <w:kern w:val="0"/>
          <w:sz w:val="28"/>
          <w:szCs w:val="28"/>
          <w:lang w:val="zh-CN" w:bidi="zh-CN"/>
        </w:rPr>
      </w:pPr>
      <w:r>
        <w:rPr>
          <w:rFonts w:hint="eastAsia" w:ascii="Times New Roman" w:hAnsi="Times New Roman" w:eastAsia="仿宋" w:cs="Times New Roman"/>
          <w:color w:val="auto"/>
          <w:kern w:val="0"/>
          <w:sz w:val="28"/>
          <w:szCs w:val="28"/>
          <w:lang w:val="zh-CN" w:bidi="zh-CN"/>
        </w:rPr>
        <w:t>（2）设备更新率：2024年新增智能体能测试仪、运动分析系统等设备，总投资120万元。</w:t>
      </w:r>
    </w:p>
    <w:p w14:paraId="06101A5A">
      <w:pPr>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ascii="Times New Roman" w:hAnsi="Times New Roman" w:eastAsia="仿宋" w:cs="Times New Roman"/>
          <w:color w:val="auto"/>
          <w:kern w:val="0"/>
          <w:sz w:val="28"/>
          <w:szCs w:val="28"/>
          <w:lang w:val="zh-CN" w:bidi="zh-CN"/>
        </w:rPr>
      </w:pPr>
      <w:r>
        <w:rPr>
          <w:rFonts w:hint="eastAsia" w:ascii="Times New Roman" w:hAnsi="Times New Roman" w:eastAsia="仿宋" w:cs="Times New Roman"/>
          <w:color w:val="auto"/>
          <w:kern w:val="0"/>
          <w:sz w:val="28"/>
          <w:szCs w:val="28"/>
          <w:lang w:val="zh-CN" w:bidi="zh-CN"/>
        </w:rPr>
        <w:t>（3）场馆利用率：场馆日均使用时长8.5小时，利用率达85%。</w:t>
      </w:r>
    </w:p>
    <w:p w14:paraId="782DDF53">
      <w:pPr>
        <w:pageBreakBefore w:val="0"/>
        <w:widowControl w:val="0"/>
        <w:kinsoku/>
        <w:wordWrap/>
        <w:overflowPunct/>
        <w:topLinePunct w:val="0"/>
        <w:autoSpaceDE w:val="0"/>
        <w:autoSpaceDN w:val="0"/>
        <w:bidi w:val="0"/>
        <w:adjustRightInd/>
        <w:snapToGrid/>
        <w:spacing w:line="500" w:lineRule="exact"/>
        <w:ind w:right="116" w:firstLine="512" w:firstLineChars="200"/>
        <w:jc w:val="left"/>
        <w:textAlignment w:val="auto"/>
        <w:rPr>
          <w:rFonts w:hint="eastAsia" w:ascii="仿宋" w:hAnsi="仿宋" w:eastAsia="仿宋" w:cs="Times New Roman"/>
          <w:bCs/>
          <w:color w:val="auto"/>
          <w:spacing w:val="-12"/>
          <w:kern w:val="0"/>
          <w:sz w:val="24"/>
          <w:szCs w:val="24"/>
          <w:lang w:val="zh-CN" w:bidi="zh-CN"/>
        </w:rPr>
      </w:pPr>
      <w:r>
        <w:rPr>
          <w:rFonts w:hint="eastAsia" w:ascii="Times New Roman" w:hAnsi="Times New Roman" w:eastAsia="仿宋" w:cs="Times New Roman"/>
          <w:bCs/>
          <w:color w:val="auto"/>
          <w:spacing w:val="-12"/>
          <w:kern w:val="0"/>
          <w:sz w:val="28"/>
          <w:szCs w:val="28"/>
          <w:lang w:val="zh-CN" w:bidi="zh-CN"/>
        </w:rPr>
        <w:t>二、</w:t>
      </w:r>
      <w:r>
        <w:rPr>
          <w:rFonts w:hint="eastAsia" w:ascii="Times New Roman" w:hAnsi="Times New Roman" w:eastAsia="仿宋" w:cs="Times New Roman"/>
          <w:b/>
          <w:color w:val="auto"/>
          <w:spacing w:val="-12"/>
          <w:kern w:val="0"/>
          <w:sz w:val="28"/>
          <w:szCs w:val="28"/>
          <w:lang w:val="zh-CN" w:bidi="zh-CN"/>
        </w:rPr>
        <w:t>体育场馆基本数据与风采展示：</w:t>
      </w:r>
    </w:p>
    <w:p w14:paraId="3027A911">
      <w:pPr>
        <w:autoSpaceDE w:val="0"/>
        <w:autoSpaceDN w:val="0"/>
        <w:spacing w:line="360" w:lineRule="auto"/>
        <w:ind w:left="0" w:leftChars="0" w:right="116" w:firstLine="0" w:firstLineChars="0"/>
        <w:jc w:val="center"/>
        <w:rPr>
          <w:rFonts w:ascii="Times New Roman" w:hAnsi="Times New Roman" w:eastAsia="仿宋" w:cs="Times New Roman"/>
          <w:bCs/>
          <w:color w:val="auto"/>
          <w:spacing w:val="-12"/>
          <w:kern w:val="0"/>
          <w:sz w:val="28"/>
          <w:szCs w:val="28"/>
          <w:lang w:val="zh-CN" w:bidi="zh-CN"/>
        </w:rPr>
      </w:pPr>
      <w:r>
        <w:rPr>
          <w:rFonts w:ascii="Times New Roman" w:hAnsi="Times New Roman" w:eastAsia="仿宋" w:cs="Times New Roman"/>
          <w:color w:val="auto"/>
          <w:kern w:val="0"/>
          <w:sz w:val="28"/>
          <w:szCs w:val="28"/>
          <w:lang w:val="zh-CN" w:bidi="zh-CN"/>
        </w:rPr>
        <w:drawing>
          <wp:inline distT="0" distB="0" distL="0" distR="0">
            <wp:extent cx="4673600" cy="1673860"/>
            <wp:effectExtent l="0" t="0" r="12700" b="2540"/>
            <wp:docPr id="447056757"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56757" name="图形 1"/>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4673600" cy="1673860"/>
                    </a:xfrm>
                    <a:prstGeom prst="rect">
                      <a:avLst/>
                    </a:prstGeom>
                  </pic:spPr>
                </pic:pic>
              </a:graphicData>
            </a:graphic>
          </wp:inline>
        </w:drawing>
      </w:r>
      <w:r>
        <w:rPr>
          <w:rFonts w:ascii="Times New Roman" w:hAnsi="Times New Roman" w:eastAsia="仿宋" w:cs="Times New Roman"/>
          <w:color w:val="auto"/>
          <w:kern w:val="0"/>
          <w:sz w:val="28"/>
          <w:szCs w:val="28"/>
          <w:lang w:val="zh-CN" w:bidi="zh-CN"/>
        </w:rPr>
        <w:drawing>
          <wp:inline distT="0" distB="0" distL="0" distR="0">
            <wp:extent cx="4679950" cy="1931670"/>
            <wp:effectExtent l="0" t="0" r="6350" b="11430"/>
            <wp:docPr id="535791140"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91140" name="图形 1"/>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4698073" cy="1931670"/>
                    </a:xfrm>
                    <a:prstGeom prst="rect">
                      <a:avLst/>
                    </a:prstGeom>
                  </pic:spPr>
                </pic:pic>
              </a:graphicData>
            </a:graphic>
          </wp:inline>
        </w:drawing>
      </w:r>
    </w:p>
    <w:p w14:paraId="00B94AD6">
      <w:pPr>
        <w:pageBreakBefore w:val="0"/>
        <w:widowControl w:val="0"/>
        <w:kinsoku/>
        <w:wordWrap/>
        <w:overflowPunct/>
        <w:topLinePunct w:val="0"/>
        <w:autoSpaceDE w:val="0"/>
        <w:autoSpaceDN w:val="0"/>
        <w:bidi w:val="0"/>
        <w:adjustRightInd/>
        <w:snapToGrid/>
        <w:spacing w:line="500" w:lineRule="exact"/>
        <w:ind w:left="0" w:right="0" w:firstLine="512" w:firstLineChars="200"/>
        <w:jc w:val="left"/>
        <w:textAlignment w:val="auto"/>
        <w:rPr>
          <w:rFonts w:ascii="Times New Roman" w:hAnsi="Times New Roman" w:eastAsia="仿宋" w:cs="Times New Roman"/>
          <w:color w:val="auto"/>
          <w:kern w:val="0"/>
          <w:sz w:val="28"/>
          <w:szCs w:val="28"/>
          <w:lang w:val="zh-CN" w:bidi="zh-CN"/>
        </w:rPr>
      </w:pPr>
      <w:r>
        <w:rPr>
          <w:rFonts w:ascii="Times New Roman" w:hAnsi="Times New Roman" w:eastAsia="仿宋" w:cs="Times New Roman"/>
          <w:bCs/>
          <w:color w:val="auto"/>
          <w:spacing w:val="-12"/>
          <w:kern w:val="0"/>
          <w:sz w:val="28"/>
          <w:szCs w:val="28"/>
          <w:lang w:val="zh-CN" w:bidi="zh-CN"/>
        </w:rPr>
        <w:t>三、</w:t>
      </w:r>
      <w:r>
        <w:rPr>
          <w:rFonts w:hint="eastAsia" w:ascii="Times New Roman" w:hAnsi="Times New Roman" w:eastAsia="仿宋" w:cs="Times New Roman"/>
          <w:color w:val="auto"/>
          <w:kern w:val="0"/>
          <w:sz w:val="28"/>
          <w:szCs w:val="28"/>
          <w:lang w:val="zh-CN" w:bidi="zh-CN"/>
        </w:rPr>
        <w:t>改进措施（2025年目标）</w:t>
      </w:r>
    </w:p>
    <w:p w14:paraId="43617383">
      <w:pPr>
        <w:pageBreakBefore w:val="0"/>
        <w:widowControl w:val="0"/>
        <w:kinsoku/>
        <w:wordWrap/>
        <w:overflowPunct/>
        <w:topLinePunct w:val="0"/>
        <w:autoSpaceDE w:val="0"/>
        <w:autoSpaceDN w:val="0"/>
        <w:bidi w:val="0"/>
        <w:adjustRightInd/>
        <w:snapToGrid/>
        <w:spacing w:line="500" w:lineRule="exact"/>
        <w:ind w:left="0" w:right="0" w:firstLine="560" w:firstLineChars="200"/>
        <w:jc w:val="left"/>
        <w:textAlignment w:val="auto"/>
        <w:rPr>
          <w:rFonts w:ascii="Times New Roman" w:hAnsi="Times New Roman" w:eastAsia="仿宋" w:cs="Times New Roman"/>
          <w:color w:val="auto"/>
          <w:kern w:val="0"/>
          <w:sz w:val="28"/>
          <w:szCs w:val="28"/>
          <w:lang w:val="zh-CN" w:bidi="zh-CN"/>
        </w:rPr>
      </w:pPr>
      <w:r>
        <w:rPr>
          <w:rFonts w:hint="eastAsia" w:ascii="Times New Roman" w:hAnsi="Times New Roman" w:eastAsia="仿宋" w:cs="Times New Roman"/>
          <w:color w:val="auto"/>
          <w:kern w:val="0"/>
          <w:sz w:val="28"/>
          <w:szCs w:val="28"/>
          <w:lang w:val="zh-CN" w:bidi="zh-CN"/>
        </w:rPr>
        <w:t>（1）资源扩容：新建“多功能体育科技实训中心”，预计2025年9月投入使用。</w:t>
      </w:r>
    </w:p>
    <w:p w14:paraId="4DB10546">
      <w:pPr>
        <w:pageBreakBefore w:val="0"/>
        <w:widowControl w:val="0"/>
        <w:kinsoku/>
        <w:wordWrap/>
        <w:overflowPunct/>
        <w:topLinePunct w:val="0"/>
        <w:autoSpaceDE w:val="0"/>
        <w:autoSpaceDN w:val="0"/>
        <w:bidi w:val="0"/>
        <w:adjustRightInd/>
        <w:snapToGrid/>
        <w:spacing w:line="500" w:lineRule="exact"/>
        <w:ind w:left="0" w:right="0" w:firstLine="560" w:firstLineChars="200"/>
        <w:jc w:val="left"/>
        <w:textAlignment w:val="auto"/>
        <w:rPr>
          <w:rFonts w:hint="eastAsia" w:ascii="Times New Roman" w:hAnsi="Times New Roman" w:eastAsia="仿宋" w:cs="Times New Roman"/>
          <w:color w:val="auto"/>
          <w:kern w:val="0"/>
          <w:sz w:val="28"/>
          <w:szCs w:val="28"/>
          <w:lang w:val="zh-CN" w:bidi="zh-CN"/>
        </w:rPr>
      </w:pPr>
      <w:r>
        <w:rPr>
          <w:rFonts w:hint="eastAsia" w:ascii="Times New Roman" w:hAnsi="Times New Roman" w:eastAsia="仿宋" w:cs="Times New Roman"/>
          <w:color w:val="auto"/>
          <w:kern w:val="0"/>
          <w:sz w:val="28"/>
          <w:szCs w:val="28"/>
          <w:lang w:val="zh-CN" w:bidi="zh-CN"/>
        </w:rPr>
        <w:t>（2）设备升级：每年投入50万元更新教学设备，重点支持新兴项目（如电子竞技体能训练）。</w:t>
      </w:r>
    </w:p>
    <w:p w14:paraId="2CE38C0E">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zh-CN" w:eastAsia="zh-CN"/>
        </w:rPr>
      </w:pPr>
      <w:bookmarkStart w:id="172" w:name="_Toc18993"/>
      <w:bookmarkStart w:id="173" w:name="_Toc14137"/>
      <w:r>
        <w:rPr>
          <w:rFonts w:hint="eastAsia" w:ascii="仿宋" w:hAnsi="仿宋" w:eastAsia="仿宋" w:cs="仿宋"/>
          <w:b/>
          <w:bCs/>
          <w:color w:val="auto"/>
          <w:sz w:val="28"/>
          <w:szCs w:val="28"/>
          <w:lang w:val="zh-CN" w:eastAsia="zh-CN"/>
        </w:rPr>
        <w:t>7.</w:t>
      </w:r>
      <w:r>
        <w:rPr>
          <w:rFonts w:hint="eastAsia" w:ascii="仿宋" w:hAnsi="仿宋" w:eastAsia="仿宋" w:cs="仿宋"/>
          <w:b/>
          <w:bCs/>
          <w:color w:val="auto"/>
          <w:sz w:val="28"/>
          <w:szCs w:val="28"/>
          <w:lang w:val="en-US" w:eastAsia="zh-CN"/>
        </w:rPr>
        <w:t>2</w:t>
      </w:r>
      <w:r>
        <w:rPr>
          <w:rFonts w:hint="eastAsia" w:ascii="仿宋" w:hAnsi="仿宋" w:eastAsia="仿宋" w:cs="仿宋"/>
          <w:b/>
          <w:bCs/>
          <w:color w:val="auto"/>
          <w:sz w:val="28"/>
          <w:szCs w:val="28"/>
          <w:lang w:val="zh-CN" w:eastAsia="zh-CN"/>
        </w:rPr>
        <w:t>.2教师的数量、结构、教学水平、产学研能力、国际视野、教学投入等能满足人才需求。</w:t>
      </w:r>
      <w:bookmarkEnd w:id="172"/>
      <w:bookmarkEnd w:id="173"/>
    </w:p>
    <w:p w14:paraId="753F19A3">
      <w:pPr>
        <w:pageBreakBefore w:val="0"/>
        <w:widowControl w:val="0"/>
        <w:kinsoku/>
        <w:wordWrap/>
        <w:overflowPunct/>
        <w:topLinePunct w:val="0"/>
        <w:autoSpaceDE w:val="0"/>
        <w:autoSpaceDN w:val="0"/>
        <w:bidi w:val="0"/>
        <w:adjustRightInd/>
        <w:snapToGrid/>
        <w:spacing w:line="500" w:lineRule="exact"/>
        <w:ind w:left="0" w:right="0" w:firstLine="514" w:firstLineChars="200"/>
        <w:jc w:val="left"/>
        <w:textAlignment w:val="auto"/>
        <w:rPr>
          <w:rFonts w:ascii="Times New Roman" w:hAnsi="Times New Roman" w:eastAsia="仿宋" w:cs="Times New Roman"/>
          <w:b/>
          <w:color w:val="auto"/>
          <w:spacing w:val="-12"/>
          <w:kern w:val="0"/>
          <w:sz w:val="28"/>
          <w:szCs w:val="28"/>
          <w:lang w:val="zh-CN" w:bidi="zh-CN"/>
        </w:rPr>
      </w:pPr>
      <w:r>
        <w:rPr>
          <w:rFonts w:hint="eastAsia" w:ascii="Times New Roman" w:hAnsi="Times New Roman" w:eastAsia="仿宋" w:cs="Times New Roman"/>
          <w:b/>
          <w:color w:val="auto"/>
          <w:spacing w:val="-12"/>
          <w:kern w:val="0"/>
          <w:sz w:val="28"/>
          <w:szCs w:val="28"/>
          <w:lang w:val="zh-CN" w:bidi="zh-CN"/>
        </w:rPr>
        <w:t>一、体育部师资队伍建设情况自评:</w:t>
      </w:r>
    </w:p>
    <w:p w14:paraId="45AB1420">
      <w:pPr>
        <w:pageBreakBefore w:val="0"/>
        <w:widowControl w:val="0"/>
        <w:kinsoku/>
        <w:wordWrap/>
        <w:overflowPunct/>
        <w:topLinePunct w:val="0"/>
        <w:autoSpaceDE w:val="0"/>
        <w:autoSpaceDN w:val="0"/>
        <w:bidi w:val="0"/>
        <w:adjustRightInd/>
        <w:snapToGrid/>
        <w:spacing w:line="500" w:lineRule="exact"/>
        <w:ind w:left="0" w:right="0" w:firstLine="512" w:firstLineChars="200"/>
        <w:jc w:val="left"/>
        <w:textAlignment w:val="auto"/>
        <w:rPr>
          <w:rFonts w:hint="eastAsia" w:ascii="仿宋" w:hAnsi="仿宋" w:eastAsia="仿宋" w:cs="Times New Roman"/>
          <w:bCs/>
          <w:color w:val="auto"/>
          <w:spacing w:val="-12"/>
          <w:kern w:val="0"/>
          <w:sz w:val="28"/>
          <w:szCs w:val="28"/>
          <w:lang w:val="zh-CN" w:bidi="zh-CN"/>
        </w:rPr>
      </w:pPr>
      <w:r>
        <w:rPr>
          <w:rFonts w:hint="eastAsia" w:ascii="仿宋" w:hAnsi="仿宋" w:eastAsia="仿宋" w:cs="Times New Roman"/>
          <w:bCs/>
          <w:color w:val="auto"/>
          <w:spacing w:val="-12"/>
          <w:kern w:val="0"/>
          <w:sz w:val="28"/>
          <w:szCs w:val="28"/>
          <w:lang w:val="zh-CN" w:bidi="zh-CN"/>
        </w:rPr>
        <w:t>（1）数量充足：体育教部拥有在编专职教师20</w:t>
      </w:r>
      <w:r>
        <w:rPr>
          <w:rFonts w:ascii="仿宋" w:hAnsi="仿宋" w:eastAsia="仿宋" w:cs="Times New Roman"/>
          <w:bCs/>
          <w:color w:val="auto"/>
          <w:spacing w:val="-12"/>
          <w:kern w:val="0"/>
          <w:sz w:val="28"/>
          <w:szCs w:val="28"/>
          <w:lang w:val="zh-CN" w:bidi="zh-CN"/>
        </w:rPr>
        <w:t>人、常年外聘</w:t>
      </w:r>
      <w:r>
        <w:rPr>
          <w:rFonts w:hint="eastAsia" w:ascii="仿宋" w:hAnsi="仿宋" w:eastAsia="仿宋" w:cs="Times New Roman"/>
          <w:bCs/>
          <w:color w:val="auto"/>
          <w:spacing w:val="-12"/>
          <w:kern w:val="0"/>
          <w:sz w:val="28"/>
          <w:szCs w:val="28"/>
          <w:lang w:val="zh-CN" w:bidi="zh-CN"/>
        </w:rPr>
        <w:t>6-8（如柔道世界冠军-</w:t>
      </w:r>
      <w:r>
        <w:rPr>
          <w:rFonts w:ascii="仿宋" w:hAnsi="仿宋" w:eastAsia="仿宋" w:cs="Times New Roman"/>
          <w:bCs/>
          <w:color w:val="auto"/>
          <w:spacing w:val="-12"/>
          <w:kern w:val="0"/>
          <w:sz w:val="28"/>
          <w:szCs w:val="28"/>
          <w:lang w:val="zh-CN" w:bidi="zh-CN"/>
        </w:rPr>
        <w:t>何红梅等</w:t>
      </w:r>
      <w:r>
        <w:rPr>
          <w:rFonts w:hint="eastAsia" w:ascii="仿宋" w:hAnsi="仿宋" w:eastAsia="仿宋" w:cs="Times New Roman"/>
          <w:bCs/>
          <w:color w:val="auto"/>
          <w:spacing w:val="-12"/>
          <w:kern w:val="0"/>
          <w:sz w:val="28"/>
          <w:szCs w:val="28"/>
          <w:lang w:val="zh-CN" w:bidi="zh-CN"/>
        </w:rPr>
        <w:t>）</w:t>
      </w:r>
      <w:r>
        <w:rPr>
          <w:rFonts w:ascii="仿宋" w:hAnsi="仿宋" w:eastAsia="仿宋" w:cs="Times New Roman"/>
          <w:bCs/>
          <w:color w:val="auto"/>
          <w:spacing w:val="-12"/>
          <w:kern w:val="0"/>
          <w:sz w:val="28"/>
          <w:szCs w:val="28"/>
          <w:lang w:val="zh-CN" w:bidi="zh-CN"/>
        </w:rPr>
        <w:t>人</w:t>
      </w:r>
      <w:r>
        <w:rPr>
          <w:rFonts w:hint="eastAsia" w:ascii="仿宋" w:hAnsi="仿宋" w:eastAsia="仿宋" w:cs="Times New Roman"/>
          <w:bCs/>
          <w:color w:val="auto"/>
          <w:spacing w:val="-12"/>
          <w:kern w:val="0"/>
          <w:sz w:val="28"/>
          <w:szCs w:val="28"/>
          <w:lang w:val="zh-CN" w:bidi="zh-CN"/>
        </w:rPr>
        <w:t>，能够保证每个班级都有足够的教师进行教学指导。</w:t>
      </w:r>
    </w:p>
    <w:p w14:paraId="3E3B6076">
      <w:pPr>
        <w:pageBreakBefore w:val="0"/>
        <w:widowControl w:val="0"/>
        <w:kinsoku/>
        <w:wordWrap/>
        <w:overflowPunct/>
        <w:topLinePunct w:val="0"/>
        <w:autoSpaceDE w:val="0"/>
        <w:autoSpaceDN w:val="0"/>
        <w:bidi w:val="0"/>
        <w:adjustRightInd/>
        <w:snapToGrid/>
        <w:spacing w:line="500" w:lineRule="exact"/>
        <w:ind w:left="0" w:right="0" w:firstLine="512" w:firstLineChars="200"/>
        <w:jc w:val="left"/>
        <w:textAlignment w:val="auto"/>
        <w:rPr>
          <w:rFonts w:hint="eastAsia" w:ascii="仿宋" w:hAnsi="仿宋" w:eastAsia="仿宋" w:cs="Times New Roman"/>
          <w:bCs/>
          <w:color w:val="auto"/>
          <w:spacing w:val="-12"/>
          <w:kern w:val="0"/>
          <w:sz w:val="28"/>
          <w:szCs w:val="28"/>
          <w:lang w:val="zh-CN" w:bidi="zh-CN"/>
        </w:rPr>
      </w:pPr>
      <w:r>
        <w:rPr>
          <w:rFonts w:hint="eastAsia" w:ascii="仿宋" w:hAnsi="仿宋" w:eastAsia="仿宋" w:cs="Times New Roman"/>
          <w:bCs/>
          <w:color w:val="auto"/>
          <w:spacing w:val="-12"/>
          <w:kern w:val="0"/>
          <w:sz w:val="28"/>
          <w:szCs w:val="28"/>
          <w:lang w:val="zh-CN" w:bidi="zh-CN"/>
        </w:rPr>
        <w:t>（2）结构合理：教师队伍涵盖不同年龄层次、不同专业背景，既有经验丰富的老教师，也有充满活力和创新的年轻教师，形成合理的年龄结构和专业结构。现有教授2</w:t>
      </w:r>
      <w:r>
        <w:rPr>
          <w:rFonts w:ascii="仿宋" w:hAnsi="仿宋" w:eastAsia="仿宋" w:cs="Times New Roman"/>
          <w:bCs/>
          <w:color w:val="auto"/>
          <w:spacing w:val="-12"/>
          <w:kern w:val="0"/>
          <w:sz w:val="28"/>
          <w:szCs w:val="28"/>
          <w:lang w:val="zh-CN" w:bidi="zh-CN"/>
        </w:rPr>
        <w:t>人、副教授</w:t>
      </w:r>
      <w:r>
        <w:rPr>
          <w:rFonts w:hint="eastAsia" w:ascii="仿宋" w:hAnsi="仿宋" w:eastAsia="仿宋" w:cs="Times New Roman"/>
          <w:bCs/>
          <w:color w:val="auto"/>
          <w:spacing w:val="-12"/>
          <w:kern w:val="0"/>
          <w:sz w:val="28"/>
          <w:szCs w:val="28"/>
          <w:lang w:val="zh-CN" w:bidi="zh-CN"/>
        </w:rPr>
        <w:t>5</w:t>
      </w:r>
      <w:r>
        <w:rPr>
          <w:rFonts w:ascii="仿宋" w:hAnsi="仿宋" w:eastAsia="仿宋" w:cs="Times New Roman"/>
          <w:bCs/>
          <w:color w:val="auto"/>
          <w:spacing w:val="-12"/>
          <w:kern w:val="0"/>
          <w:sz w:val="28"/>
          <w:szCs w:val="28"/>
          <w:lang w:val="zh-CN" w:bidi="zh-CN"/>
        </w:rPr>
        <w:t>人</w:t>
      </w:r>
      <w:r>
        <w:rPr>
          <w:rFonts w:hint="eastAsia" w:ascii="仿宋" w:hAnsi="仿宋" w:eastAsia="仿宋" w:cs="Times New Roman"/>
          <w:bCs/>
          <w:color w:val="auto"/>
          <w:spacing w:val="-12"/>
          <w:kern w:val="0"/>
          <w:sz w:val="28"/>
          <w:szCs w:val="28"/>
          <w:lang w:val="zh-CN" w:bidi="zh-CN"/>
        </w:rPr>
        <w:t>，</w:t>
      </w:r>
      <w:r>
        <w:rPr>
          <w:rFonts w:hint="eastAsia" w:ascii="仿宋" w:hAnsi="仿宋" w:eastAsia="仿宋" w:cs="Times New Roman"/>
          <w:bCs/>
          <w:color w:val="auto"/>
          <w:spacing w:val="-12"/>
          <w:kern w:val="0"/>
          <w:sz w:val="28"/>
          <w:szCs w:val="28"/>
          <w:lang w:val="en-US" w:bidi="zh-CN"/>
        </w:rPr>
        <w:t>17人</w:t>
      </w:r>
      <w:r>
        <w:rPr>
          <w:rFonts w:hint="eastAsia" w:ascii="仿宋" w:hAnsi="仿宋" w:eastAsia="仿宋" w:cs="Times New Roman"/>
          <w:bCs/>
          <w:color w:val="auto"/>
          <w:spacing w:val="-12"/>
          <w:kern w:val="0"/>
          <w:sz w:val="28"/>
          <w:szCs w:val="28"/>
          <w:lang w:val="zh-CN" w:bidi="zh-CN"/>
        </w:rPr>
        <w:t>具</w:t>
      </w:r>
      <w:r>
        <w:rPr>
          <w:rFonts w:hint="eastAsia" w:ascii="仿宋" w:hAnsi="仿宋" w:eastAsia="仿宋" w:cs="Times New Roman"/>
          <w:bCs/>
          <w:color w:val="auto"/>
          <w:spacing w:val="-12"/>
          <w:kern w:val="0"/>
          <w:sz w:val="28"/>
          <w:szCs w:val="28"/>
          <w:lang w:val="en-US" w:bidi="zh-CN"/>
        </w:rPr>
        <w:t>有</w:t>
      </w:r>
      <w:r>
        <w:rPr>
          <w:rFonts w:hint="eastAsia" w:ascii="仿宋" w:hAnsi="仿宋" w:eastAsia="仿宋" w:cs="Times New Roman"/>
          <w:bCs/>
          <w:color w:val="auto"/>
          <w:spacing w:val="-12"/>
          <w:kern w:val="0"/>
          <w:sz w:val="28"/>
          <w:szCs w:val="28"/>
          <w:lang w:val="zh-CN" w:bidi="zh-CN"/>
        </w:rPr>
        <w:t>硕士</w:t>
      </w:r>
      <w:r>
        <w:rPr>
          <w:rFonts w:hint="eastAsia" w:ascii="仿宋" w:hAnsi="仿宋" w:eastAsia="仿宋" w:cs="Times New Roman"/>
          <w:bCs/>
          <w:color w:val="auto"/>
          <w:spacing w:val="-12"/>
          <w:kern w:val="0"/>
          <w:sz w:val="28"/>
          <w:szCs w:val="28"/>
          <w:lang w:val="en-US" w:bidi="zh-CN"/>
        </w:rPr>
        <w:t>及以上</w:t>
      </w:r>
      <w:r>
        <w:rPr>
          <w:rFonts w:hint="eastAsia" w:ascii="仿宋" w:hAnsi="仿宋" w:eastAsia="仿宋" w:cs="Times New Roman"/>
          <w:bCs/>
          <w:color w:val="auto"/>
          <w:spacing w:val="-12"/>
          <w:kern w:val="0"/>
          <w:sz w:val="28"/>
          <w:szCs w:val="28"/>
          <w:lang w:val="zh-CN" w:bidi="zh-CN"/>
        </w:rPr>
        <w:t>学位，</w:t>
      </w:r>
      <w:r>
        <w:rPr>
          <w:rFonts w:hint="eastAsia" w:ascii="仿宋" w:hAnsi="仿宋" w:eastAsia="仿宋" w:cs="Times New Roman"/>
          <w:bCs/>
          <w:color w:val="auto"/>
          <w:spacing w:val="-12"/>
          <w:kern w:val="0"/>
          <w:sz w:val="28"/>
          <w:szCs w:val="28"/>
          <w:lang w:val="en-US" w:bidi="zh-CN"/>
        </w:rPr>
        <w:t>其中</w:t>
      </w:r>
      <w:r>
        <w:rPr>
          <w:rFonts w:hint="eastAsia" w:ascii="仿宋" w:hAnsi="仿宋" w:eastAsia="仿宋" w:cs="Times New Roman"/>
          <w:bCs/>
          <w:color w:val="auto"/>
          <w:spacing w:val="-12"/>
          <w:kern w:val="0"/>
          <w:sz w:val="28"/>
          <w:szCs w:val="28"/>
          <w:lang w:val="zh-CN" w:bidi="zh-CN"/>
        </w:rPr>
        <w:t>博士3</w:t>
      </w:r>
      <w:r>
        <w:rPr>
          <w:rFonts w:ascii="仿宋" w:hAnsi="仿宋" w:eastAsia="仿宋" w:cs="Times New Roman"/>
          <w:bCs/>
          <w:color w:val="auto"/>
          <w:spacing w:val="-12"/>
          <w:kern w:val="0"/>
          <w:sz w:val="28"/>
          <w:szCs w:val="28"/>
          <w:lang w:val="zh-CN" w:bidi="zh-CN"/>
        </w:rPr>
        <w:t>人（</w:t>
      </w:r>
      <w:r>
        <w:rPr>
          <w:rFonts w:hint="eastAsia" w:ascii="仿宋" w:hAnsi="仿宋" w:eastAsia="仿宋" w:cs="Times New Roman"/>
          <w:bCs/>
          <w:color w:val="auto"/>
          <w:spacing w:val="-12"/>
          <w:kern w:val="0"/>
          <w:sz w:val="28"/>
          <w:szCs w:val="28"/>
          <w:lang w:val="zh-CN" w:bidi="zh-CN"/>
        </w:rPr>
        <w:t>占15%</w:t>
      </w:r>
      <w:r>
        <w:rPr>
          <w:rFonts w:ascii="仿宋" w:hAnsi="仿宋" w:eastAsia="仿宋" w:cs="Times New Roman"/>
          <w:bCs/>
          <w:color w:val="auto"/>
          <w:spacing w:val="-12"/>
          <w:kern w:val="0"/>
          <w:sz w:val="28"/>
          <w:szCs w:val="28"/>
          <w:lang w:val="zh-CN" w:bidi="zh-CN"/>
        </w:rPr>
        <w:t>）</w:t>
      </w:r>
      <w:r>
        <w:rPr>
          <w:rFonts w:hint="eastAsia" w:ascii="仿宋" w:hAnsi="仿宋" w:eastAsia="仿宋" w:cs="Times New Roman"/>
          <w:bCs/>
          <w:color w:val="auto"/>
          <w:spacing w:val="-12"/>
          <w:kern w:val="0"/>
          <w:sz w:val="28"/>
          <w:szCs w:val="28"/>
          <w:lang w:val="zh-CN" w:bidi="zh-CN"/>
        </w:rPr>
        <w:t>。</w:t>
      </w:r>
    </w:p>
    <w:p w14:paraId="355DA6A2">
      <w:pPr>
        <w:pageBreakBefore w:val="0"/>
        <w:widowControl w:val="0"/>
        <w:kinsoku/>
        <w:wordWrap/>
        <w:overflowPunct/>
        <w:topLinePunct w:val="0"/>
        <w:autoSpaceDE w:val="0"/>
        <w:autoSpaceDN w:val="0"/>
        <w:bidi w:val="0"/>
        <w:adjustRightInd/>
        <w:snapToGrid/>
        <w:spacing w:line="500" w:lineRule="exact"/>
        <w:ind w:left="0" w:right="0" w:firstLine="512" w:firstLineChars="200"/>
        <w:jc w:val="left"/>
        <w:textAlignment w:val="auto"/>
        <w:rPr>
          <w:rFonts w:hint="eastAsia" w:ascii="仿宋" w:hAnsi="仿宋" w:eastAsia="仿宋" w:cs="Times New Roman"/>
          <w:bCs/>
          <w:color w:val="auto"/>
          <w:spacing w:val="-12"/>
          <w:kern w:val="0"/>
          <w:sz w:val="28"/>
          <w:szCs w:val="28"/>
          <w:lang w:val="zh-CN" w:bidi="zh-CN"/>
        </w:rPr>
      </w:pPr>
      <w:r>
        <w:rPr>
          <w:rFonts w:hint="eastAsia" w:ascii="仿宋" w:hAnsi="仿宋" w:eastAsia="仿宋" w:cs="Times New Roman"/>
          <w:bCs/>
          <w:color w:val="auto"/>
          <w:spacing w:val="-12"/>
          <w:kern w:val="0"/>
          <w:sz w:val="28"/>
          <w:szCs w:val="28"/>
          <w:lang w:val="zh-CN" w:bidi="zh-CN"/>
        </w:rPr>
        <w:t>（3）教学水平高：教师们具备扎实的专业知识，丰富的教学经验，能够运用多种教学方法，提高学生的学习兴趣和效果。</w:t>
      </w:r>
      <w:r>
        <w:rPr>
          <w:rFonts w:hint="eastAsia" w:ascii="仿宋" w:hAnsi="仿宋" w:eastAsia="仿宋" w:cs="Times New Roman"/>
          <w:bCs/>
          <w:color w:val="auto"/>
          <w:spacing w:val="-12"/>
          <w:kern w:val="0"/>
          <w:sz w:val="28"/>
          <w:szCs w:val="28"/>
          <w:lang w:val="en-US" w:bidi="zh-CN"/>
        </w:rPr>
        <w:t>廖虎武等老师</w:t>
      </w:r>
      <w:r>
        <w:rPr>
          <w:rFonts w:hint="eastAsia" w:ascii="仿宋" w:hAnsi="仿宋" w:eastAsia="仿宋" w:cs="Times New Roman"/>
          <w:bCs/>
          <w:color w:val="auto"/>
          <w:spacing w:val="-12"/>
          <w:kern w:val="0"/>
          <w:sz w:val="28"/>
          <w:szCs w:val="28"/>
          <w:lang w:val="zh-CN" w:bidi="zh-CN"/>
        </w:rPr>
        <w:t>连续在近三届湖南省青年体育教师赛课中荣获一、二、三等奖。</w:t>
      </w:r>
    </w:p>
    <w:p w14:paraId="426C78DC">
      <w:pPr>
        <w:pageBreakBefore w:val="0"/>
        <w:widowControl w:val="0"/>
        <w:kinsoku/>
        <w:wordWrap/>
        <w:overflowPunct/>
        <w:topLinePunct w:val="0"/>
        <w:autoSpaceDE w:val="0"/>
        <w:autoSpaceDN w:val="0"/>
        <w:bidi w:val="0"/>
        <w:adjustRightInd/>
        <w:snapToGrid/>
        <w:spacing w:line="500" w:lineRule="exact"/>
        <w:ind w:left="0" w:right="0" w:firstLine="512" w:firstLineChars="200"/>
        <w:jc w:val="left"/>
        <w:textAlignment w:val="auto"/>
        <w:rPr>
          <w:rFonts w:hint="eastAsia" w:ascii="仿宋" w:hAnsi="仿宋" w:eastAsia="仿宋" w:cs="Times New Roman"/>
          <w:bCs/>
          <w:color w:val="auto"/>
          <w:spacing w:val="-12"/>
          <w:kern w:val="0"/>
          <w:sz w:val="28"/>
          <w:szCs w:val="28"/>
          <w:lang w:val="zh-CN" w:bidi="zh-CN"/>
        </w:rPr>
      </w:pPr>
      <w:r>
        <w:rPr>
          <w:rFonts w:hint="eastAsia" w:ascii="仿宋" w:hAnsi="仿宋" w:eastAsia="仿宋" w:cs="Times New Roman"/>
          <w:bCs/>
          <w:color w:val="auto"/>
          <w:spacing w:val="-12"/>
          <w:kern w:val="0"/>
          <w:sz w:val="28"/>
          <w:szCs w:val="28"/>
          <w:lang w:val="zh-CN" w:bidi="zh-CN"/>
        </w:rPr>
        <w:t>（4）产学研能力强：教师们积极参与体育科学研究，与企业和体育机构合作，开展科研项目，将研究成果应用于教学和实践中，提升教学质量。</w:t>
      </w:r>
    </w:p>
    <w:p w14:paraId="6924536E">
      <w:pPr>
        <w:pageBreakBefore w:val="0"/>
        <w:widowControl w:val="0"/>
        <w:kinsoku/>
        <w:wordWrap/>
        <w:overflowPunct/>
        <w:topLinePunct w:val="0"/>
        <w:autoSpaceDE w:val="0"/>
        <w:autoSpaceDN w:val="0"/>
        <w:bidi w:val="0"/>
        <w:adjustRightInd/>
        <w:snapToGrid/>
        <w:spacing w:line="500" w:lineRule="exact"/>
        <w:ind w:left="0" w:right="0" w:firstLine="512" w:firstLineChars="200"/>
        <w:jc w:val="left"/>
        <w:textAlignment w:val="auto"/>
        <w:rPr>
          <w:rFonts w:hint="eastAsia" w:ascii="仿宋" w:hAnsi="仿宋" w:eastAsia="仿宋" w:cs="Times New Roman"/>
          <w:bCs/>
          <w:color w:val="auto"/>
          <w:spacing w:val="-12"/>
          <w:kern w:val="0"/>
          <w:sz w:val="28"/>
          <w:szCs w:val="28"/>
          <w:lang w:val="zh-CN" w:bidi="zh-CN"/>
        </w:rPr>
      </w:pPr>
      <w:r>
        <w:rPr>
          <w:rFonts w:hint="eastAsia" w:ascii="仿宋" w:hAnsi="仿宋" w:eastAsia="仿宋" w:cs="Times New Roman"/>
          <w:bCs/>
          <w:color w:val="auto"/>
          <w:spacing w:val="-12"/>
          <w:kern w:val="0"/>
          <w:sz w:val="28"/>
          <w:szCs w:val="28"/>
          <w:lang w:val="zh-CN" w:bidi="zh-CN"/>
        </w:rPr>
        <w:t>（5）国际视野开阔：部分教师积极参加国际学术交流，能够将国际先进的体育教育理念和方法引入教学中。如吴勇教师2024</w:t>
      </w:r>
      <w:r>
        <w:rPr>
          <w:rFonts w:ascii="仿宋" w:hAnsi="仿宋" w:eastAsia="仿宋" w:cs="Times New Roman"/>
          <w:bCs/>
          <w:color w:val="auto"/>
          <w:spacing w:val="-12"/>
          <w:kern w:val="0"/>
          <w:sz w:val="28"/>
          <w:szCs w:val="28"/>
          <w:lang w:val="zh-CN" w:bidi="zh-CN"/>
        </w:rPr>
        <w:t>年</w:t>
      </w:r>
      <w:r>
        <w:rPr>
          <w:rFonts w:hint="eastAsia" w:ascii="仿宋" w:hAnsi="仿宋" w:eastAsia="仿宋" w:cs="Times New Roman"/>
          <w:bCs/>
          <w:color w:val="auto"/>
          <w:spacing w:val="-12"/>
          <w:kern w:val="0"/>
          <w:sz w:val="28"/>
          <w:szCs w:val="28"/>
          <w:lang w:val="zh-CN" w:bidi="zh-CN"/>
        </w:rPr>
        <w:t>6</w:t>
      </w:r>
      <w:r>
        <w:rPr>
          <w:rFonts w:ascii="仿宋" w:hAnsi="仿宋" w:eastAsia="仿宋" w:cs="Times New Roman"/>
          <w:bCs/>
          <w:color w:val="auto"/>
          <w:spacing w:val="-12"/>
          <w:kern w:val="0"/>
          <w:sz w:val="28"/>
          <w:szCs w:val="28"/>
          <w:lang w:val="zh-CN" w:bidi="zh-CN"/>
        </w:rPr>
        <w:t>月受邀参加在开封举办的第十届</w:t>
      </w:r>
      <w:r>
        <w:rPr>
          <w:rFonts w:hint="eastAsia" w:ascii="仿宋" w:hAnsi="仿宋" w:eastAsia="仿宋" w:cs="Times New Roman"/>
          <w:bCs/>
          <w:color w:val="auto"/>
          <w:spacing w:val="-12"/>
          <w:kern w:val="0"/>
          <w:sz w:val="28"/>
          <w:szCs w:val="28"/>
          <w:lang w:val="zh-CN" w:bidi="zh-CN"/>
        </w:rPr>
        <w:t>亚太与体育科学大会并进行论文墙报交流。</w:t>
      </w:r>
    </w:p>
    <w:p w14:paraId="7170F6CC">
      <w:pPr>
        <w:pageBreakBefore w:val="0"/>
        <w:widowControl w:val="0"/>
        <w:kinsoku/>
        <w:wordWrap/>
        <w:overflowPunct/>
        <w:topLinePunct w:val="0"/>
        <w:autoSpaceDE w:val="0"/>
        <w:autoSpaceDN w:val="0"/>
        <w:bidi w:val="0"/>
        <w:adjustRightInd/>
        <w:snapToGrid/>
        <w:spacing w:line="500" w:lineRule="exact"/>
        <w:ind w:left="0" w:right="0" w:firstLine="512" w:firstLineChars="200"/>
        <w:jc w:val="left"/>
        <w:textAlignment w:val="auto"/>
        <w:rPr>
          <w:rFonts w:hint="eastAsia" w:ascii="仿宋" w:hAnsi="仿宋" w:eastAsia="仿宋" w:cs="Times New Roman"/>
          <w:bCs/>
          <w:color w:val="auto"/>
          <w:spacing w:val="-12"/>
          <w:kern w:val="0"/>
          <w:sz w:val="28"/>
          <w:szCs w:val="28"/>
          <w:lang w:val="zh-CN" w:bidi="zh-CN"/>
        </w:rPr>
      </w:pPr>
      <w:r>
        <w:rPr>
          <w:rFonts w:hint="eastAsia" w:ascii="仿宋" w:hAnsi="仿宋" w:eastAsia="仿宋" w:cs="Times New Roman"/>
          <w:bCs/>
          <w:color w:val="auto"/>
          <w:spacing w:val="-12"/>
          <w:kern w:val="0"/>
          <w:sz w:val="28"/>
          <w:szCs w:val="28"/>
          <w:lang w:val="zh-CN" w:bidi="zh-CN"/>
        </w:rPr>
        <w:t>（6）教学投入大：教师们对教学工作充满热情，投入大量时间和精力，关注学生的学习进度和成长，积极开展教学改革和创新。如大一和大二教研室每学期开展8</w:t>
      </w:r>
      <w:r>
        <w:rPr>
          <w:rFonts w:ascii="仿宋" w:hAnsi="仿宋" w:eastAsia="仿宋" w:cs="Times New Roman"/>
          <w:bCs/>
          <w:color w:val="auto"/>
          <w:spacing w:val="-12"/>
          <w:kern w:val="0"/>
          <w:sz w:val="28"/>
          <w:szCs w:val="28"/>
          <w:lang w:val="zh-CN" w:bidi="zh-CN"/>
        </w:rPr>
        <w:t>次教研交流会，部门每学期开展赛课活动等。</w:t>
      </w:r>
    </w:p>
    <w:p w14:paraId="33FC565A">
      <w:pPr>
        <w:pageBreakBefore w:val="0"/>
        <w:widowControl w:val="0"/>
        <w:kinsoku/>
        <w:wordWrap/>
        <w:overflowPunct/>
        <w:topLinePunct w:val="0"/>
        <w:autoSpaceDE w:val="0"/>
        <w:autoSpaceDN w:val="0"/>
        <w:bidi w:val="0"/>
        <w:adjustRightInd/>
        <w:snapToGrid/>
        <w:spacing w:line="500" w:lineRule="exact"/>
        <w:ind w:left="0" w:right="0" w:firstLine="512" w:firstLineChars="200"/>
        <w:jc w:val="left"/>
        <w:textAlignment w:val="auto"/>
        <w:rPr>
          <w:rFonts w:hint="eastAsia" w:ascii="仿宋" w:hAnsi="仿宋" w:eastAsia="仿宋" w:cs="Times New Roman"/>
          <w:bCs/>
          <w:color w:val="auto"/>
          <w:spacing w:val="-12"/>
          <w:kern w:val="0"/>
          <w:sz w:val="28"/>
          <w:szCs w:val="28"/>
          <w:lang w:val="zh-CN" w:bidi="zh-CN"/>
        </w:rPr>
      </w:pPr>
      <w:r>
        <w:rPr>
          <w:rFonts w:hint="eastAsia" w:ascii="仿宋" w:hAnsi="仿宋" w:eastAsia="仿宋" w:cs="Times New Roman"/>
          <w:bCs/>
          <w:color w:val="auto"/>
          <w:spacing w:val="-12"/>
          <w:kern w:val="0"/>
          <w:sz w:val="28"/>
          <w:szCs w:val="28"/>
          <w:lang w:val="zh-CN" w:bidi="zh-CN"/>
        </w:rPr>
        <w:t>总体而言，体育教学部在实验实训室资源条件和教师队伍方面都能够满足大学本科生的培养需求，为学生的全面发展提供了有力的保障。</w:t>
      </w:r>
    </w:p>
    <w:p w14:paraId="171939BD">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eastAsia" w:ascii="黑体" w:hAnsi="黑体" w:eastAsia="黑体" w:cs="黑体"/>
          <w:b/>
          <w:bCs/>
          <w:color w:val="auto"/>
          <w:sz w:val="32"/>
          <w:szCs w:val="32"/>
          <w:lang w:val="zh-CN" w:eastAsia="zh-CN"/>
        </w:rPr>
      </w:pPr>
      <w:bookmarkStart w:id="174" w:name="_Toc23545"/>
      <w:r>
        <w:rPr>
          <w:rFonts w:hint="eastAsia" w:ascii="黑体" w:hAnsi="黑体" w:eastAsia="黑体" w:cs="黑体"/>
          <w:b/>
          <w:bCs/>
          <w:color w:val="auto"/>
          <w:sz w:val="32"/>
          <w:szCs w:val="32"/>
          <w:lang w:val="zh-CN" w:eastAsia="zh-CN"/>
        </w:rPr>
        <w:t>7.</w:t>
      </w:r>
      <w:r>
        <w:rPr>
          <w:rFonts w:hint="eastAsia" w:ascii="黑体" w:hAnsi="黑体" w:cs="黑体"/>
          <w:b/>
          <w:bCs/>
          <w:color w:val="auto"/>
          <w:sz w:val="32"/>
          <w:szCs w:val="32"/>
          <w:lang w:val="en-US" w:eastAsia="zh-CN"/>
        </w:rPr>
        <w:t>3</w:t>
      </w:r>
      <w:r>
        <w:rPr>
          <w:rFonts w:hint="eastAsia" w:ascii="黑体" w:hAnsi="黑体" w:eastAsia="黑体" w:cs="黑体"/>
          <w:b/>
          <w:bCs/>
          <w:color w:val="auto"/>
          <w:sz w:val="32"/>
          <w:szCs w:val="32"/>
          <w:lang w:val="zh-CN" w:eastAsia="zh-CN"/>
        </w:rPr>
        <w:t xml:space="preserve"> 有效度</w:t>
      </w:r>
      <w:bookmarkEnd w:id="174"/>
    </w:p>
    <w:p w14:paraId="43986E3B">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zh-CN" w:eastAsia="zh-CN"/>
        </w:rPr>
      </w:pPr>
      <w:bookmarkStart w:id="175" w:name="_Hlk182146113"/>
      <w:bookmarkStart w:id="176" w:name="_Toc20988"/>
      <w:bookmarkStart w:id="177" w:name="_Toc8795"/>
      <w:r>
        <w:rPr>
          <w:rFonts w:hint="eastAsia" w:ascii="仿宋" w:hAnsi="仿宋" w:eastAsia="仿宋" w:cs="仿宋"/>
          <w:b/>
          <w:bCs/>
          <w:color w:val="auto"/>
          <w:sz w:val="28"/>
          <w:szCs w:val="28"/>
          <w:lang w:val="zh-CN" w:eastAsia="zh-CN"/>
        </w:rPr>
        <w:t>7.</w:t>
      </w:r>
      <w:r>
        <w:rPr>
          <w:rFonts w:hint="eastAsia" w:ascii="仿宋" w:hAnsi="仿宋" w:eastAsia="仿宋" w:cs="仿宋"/>
          <w:b/>
          <w:bCs/>
          <w:color w:val="auto"/>
          <w:sz w:val="28"/>
          <w:szCs w:val="28"/>
          <w:lang w:val="en-US" w:eastAsia="zh-CN"/>
        </w:rPr>
        <w:t>3</w:t>
      </w:r>
      <w:r>
        <w:rPr>
          <w:rFonts w:hint="eastAsia" w:ascii="仿宋" w:hAnsi="仿宋" w:eastAsia="仿宋" w:cs="仿宋"/>
          <w:b/>
          <w:bCs/>
          <w:color w:val="auto"/>
          <w:sz w:val="28"/>
          <w:szCs w:val="28"/>
          <w:lang w:val="zh-CN" w:eastAsia="zh-CN"/>
        </w:rPr>
        <w:t>.1</w:t>
      </w:r>
      <w:bookmarkEnd w:id="175"/>
      <w:r>
        <w:rPr>
          <w:rFonts w:hint="eastAsia" w:ascii="仿宋" w:hAnsi="仿宋" w:eastAsia="仿宋" w:cs="仿宋"/>
          <w:b/>
          <w:bCs/>
          <w:color w:val="auto"/>
          <w:sz w:val="28"/>
          <w:szCs w:val="28"/>
          <w:lang w:val="zh-CN" w:eastAsia="zh-CN"/>
        </w:rPr>
        <w:t>学院人才培养各要素方面规章制度的有效运行情况</w:t>
      </w:r>
      <w:bookmarkEnd w:id="176"/>
      <w:bookmarkEnd w:id="177"/>
    </w:p>
    <w:p w14:paraId="048ADD2B">
      <w:pPr>
        <w:pageBreakBefore w:val="0"/>
        <w:widowControl w:val="0"/>
        <w:kinsoku/>
        <w:wordWrap/>
        <w:overflowPunct/>
        <w:topLinePunct w:val="0"/>
        <w:autoSpaceDE w:val="0"/>
        <w:autoSpaceDN w:val="0"/>
        <w:bidi w:val="0"/>
        <w:adjustRightInd/>
        <w:snapToGrid/>
        <w:spacing w:line="500" w:lineRule="exact"/>
        <w:ind w:left="0" w:right="0" w:firstLine="560" w:firstLineChars="200"/>
        <w:jc w:val="left"/>
        <w:textAlignment w:val="auto"/>
        <w:rPr>
          <w:rFonts w:hint="eastAsia" w:ascii="仿宋" w:hAnsi="仿宋" w:eastAsia="仿宋" w:cs="Times New Roman"/>
          <w:color w:val="auto"/>
          <w:kern w:val="0"/>
          <w:sz w:val="28"/>
          <w:szCs w:val="28"/>
          <w:lang w:val="zh-CN" w:bidi="zh-CN"/>
        </w:rPr>
      </w:pPr>
      <w:r>
        <w:rPr>
          <w:rFonts w:hint="eastAsia" w:ascii="仿宋" w:hAnsi="仿宋" w:eastAsia="仿宋" w:cs="Times New Roman"/>
          <w:color w:val="auto"/>
          <w:kern w:val="0"/>
          <w:sz w:val="28"/>
          <w:szCs w:val="28"/>
          <w:lang w:val="zh-CN" w:bidi="zh-CN"/>
        </w:rPr>
        <w:t>体育部在人才培养过程中，建立了全面且细致的规章制度体系，确保各要素的有效运行。这些规章制度涵盖了教学计划制定、课程管理、师资培养、学生考核、实验实训、产学研合作等多个方面。</w:t>
      </w:r>
    </w:p>
    <w:p w14:paraId="6EBC4DA3">
      <w:pPr>
        <w:pageBreakBefore w:val="0"/>
        <w:widowControl w:val="0"/>
        <w:kinsoku/>
        <w:wordWrap/>
        <w:overflowPunct/>
        <w:topLinePunct w:val="0"/>
        <w:autoSpaceDE w:val="0"/>
        <w:autoSpaceDN w:val="0"/>
        <w:bidi w:val="0"/>
        <w:adjustRightInd/>
        <w:snapToGrid/>
        <w:spacing w:line="500" w:lineRule="exact"/>
        <w:ind w:left="0" w:right="0" w:firstLine="560" w:firstLineChars="200"/>
        <w:jc w:val="left"/>
        <w:textAlignment w:val="auto"/>
        <w:rPr>
          <w:rFonts w:hint="eastAsia" w:ascii="仿宋" w:hAnsi="仿宋" w:eastAsia="仿宋" w:cs="Times New Roman"/>
          <w:color w:val="auto"/>
          <w:kern w:val="0"/>
          <w:sz w:val="28"/>
          <w:szCs w:val="28"/>
          <w:lang w:val="zh-CN" w:bidi="zh-CN"/>
        </w:rPr>
      </w:pPr>
      <w:r>
        <w:rPr>
          <w:rFonts w:hint="eastAsia" w:ascii="仿宋" w:hAnsi="仿宋" w:eastAsia="仿宋" w:cs="Times New Roman"/>
          <w:color w:val="auto"/>
          <w:kern w:val="0"/>
          <w:sz w:val="28"/>
          <w:szCs w:val="28"/>
          <w:lang w:val="zh-CN" w:bidi="zh-CN"/>
        </w:rPr>
        <w:t>1. 教学计划与课程管理：体育部根据学校的总体教育目标和人才培养计划，制定详细的教学计划，明确各门课程的教学目标、内容、方法和评价标准。同时，建立课程管理制度，确保课程的规范性和科学性。</w:t>
      </w:r>
    </w:p>
    <w:p w14:paraId="0C0C5246">
      <w:pPr>
        <w:pageBreakBefore w:val="0"/>
        <w:widowControl w:val="0"/>
        <w:kinsoku/>
        <w:wordWrap/>
        <w:overflowPunct/>
        <w:topLinePunct w:val="0"/>
        <w:autoSpaceDE w:val="0"/>
        <w:autoSpaceDN w:val="0"/>
        <w:bidi w:val="0"/>
        <w:adjustRightInd/>
        <w:snapToGrid/>
        <w:spacing w:line="500" w:lineRule="exact"/>
        <w:ind w:left="0" w:right="0" w:firstLine="560" w:firstLineChars="200"/>
        <w:jc w:val="left"/>
        <w:textAlignment w:val="auto"/>
        <w:rPr>
          <w:rFonts w:hint="eastAsia" w:ascii="仿宋" w:hAnsi="仿宋" w:eastAsia="仿宋" w:cs="Times New Roman"/>
          <w:color w:val="auto"/>
          <w:kern w:val="0"/>
          <w:sz w:val="28"/>
          <w:szCs w:val="28"/>
          <w:lang w:val="zh-CN" w:bidi="zh-CN"/>
        </w:rPr>
      </w:pPr>
      <w:r>
        <w:rPr>
          <w:rFonts w:hint="eastAsia" w:ascii="仿宋" w:hAnsi="仿宋" w:eastAsia="仿宋" w:cs="Times New Roman"/>
          <w:color w:val="auto"/>
          <w:kern w:val="0"/>
          <w:sz w:val="28"/>
          <w:szCs w:val="28"/>
          <w:lang w:val="zh-CN" w:bidi="zh-CN"/>
        </w:rPr>
        <w:t>2. 师资培养与团队建设：体育部重视师资队伍的建设，通过定期组织教师培训、学术交流和技能竞赛等活动，提升教师的专业素养和教学能力。同时，建立教师考核和评价机制，激励教师不断进步。</w:t>
      </w:r>
    </w:p>
    <w:p w14:paraId="01F283AD">
      <w:pPr>
        <w:pageBreakBefore w:val="0"/>
        <w:widowControl w:val="0"/>
        <w:kinsoku/>
        <w:wordWrap/>
        <w:overflowPunct/>
        <w:topLinePunct w:val="0"/>
        <w:autoSpaceDE w:val="0"/>
        <w:autoSpaceDN w:val="0"/>
        <w:bidi w:val="0"/>
        <w:adjustRightInd/>
        <w:snapToGrid/>
        <w:spacing w:line="500" w:lineRule="exact"/>
        <w:ind w:left="0" w:right="0" w:firstLine="560" w:firstLineChars="200"/>
        <w:jc w:val="left"/>
        <w:textAlignment w:val="auto"/>
        <w:rPr>
          <w:rFonts w:hint="eastAsia" w:ascii="仿宋" w:hAnsi="仿宋" w:eastAsia="仿宋" w:cs="Times New Roman"/>
          <w:color w:val="auto"/>
          <w:kern w:val="0"/>
          <w:sz w:val="28"/>
          <w:szCs w:val="28"/>
          <w:lang w:val="zh-CN" w:bidi="zh-CN"/>
        </w:rPr>
      </w:pPr>
      <w:r>
        <w:rPr>
          <w:rFonts w:hint="eastAsia" w:ascii="仿宋" w:hAnsi="仿宋" w:eastAsia="仿宋" w:cs="Times New Roman"/>
          <w:color w:val="auto"/>
          <w:kern w:val="0"/>
          <w:sz w:val="28"/>
          <w:szCs w:val="28"/>
          <w:lang w:val="zh-CN" w:bidi="zh-CN"/>
        </w:rPr>
        <w:t>3. 学生考核与激励：体育部建立了完善的学生考核体系，通过</w:t>
      </w:r>
      <w:r>
        <w:rPr>
          <w:rFonts w:hint="eastAsia" w:ascii="仿宋" w:hAnsi="仿宋" w:eastAsia="仿宋" w:cs="Times New Roman"/>
          <w:color w:val="auto"/>
          <w:kern w:val="0"/>
          <w:sz w:val="28"/>
          <w:szCs w:val="28"/>
          <w:lang w:val="en-US" w:bidi="zh-CN"/>
        </w:rPr>
        <w:t>过程性评价、综合性|表现性评价、结果性评价</w:t>
      </w:r>
      <w:r>
        <w:rPr>
          <w:rFonts w:hint="eastAsia" w:ascii="仿宋" w:hAnsi="仿宋" w:eastAsia="仿宋" w:cs="Times New Roman"/>
          <w:color w:val="auto"/>
          <w:kern w:val="0"/>
          <w:sz w:val="28"/>
          <w:szCs w:val="28"/>
          <w:lang w:val="zh-CN" w:bidi="zh-CN"/>
        </w:rPr>
        <w:t>等多种方式综合评价学生的学习效果。同时，设立奖学金、优秀学生评选等激励机制，激发学生的学习兴趣和积极性。</w:t>
      </w:r>
    </w:p>
    <w:p w14:paraId="7E503220">
      <w:pPr>
        <w:pageBreakBefore w:val="0"/>
        <w:widowControl w:val="0"/>
        <w:kinsoku/>
        <w:wordWrap/>
        <w:overflowPunct/>
        <w:topLinePunct w:val="0"/>
        <w:autoSpaceDE w:val="0"/>
        <w:autoSpaceDN w:val="0"/>
        <w:bidi w:val="0"/>
        <w:adjustRightInd/>
        <w:snapToGrid/>
        <w:spacing w:line="500" w:lineRule="exact"/>
        <w:ind w:left="0" w:right="0" w:firstLine="560" w:firstLineChars="200"/>
        <w:jc w:val="left"/>
        <w:textAlignment w:val="auto"/>
        <w:rPr>
          <w:rFonts w:hint="eastAsia" w:ascii="仿宋" w:hAnsi="仿宋" w:eastAsia="仿宋" w:cs="Times New Roman"/>
          <w:color w:val="auto"/>
          <w:kern w:val="0"/>
          <w:sz w:val="28"/>
          <w:szCs w:val="28"/>
          <w:lang w:val="zh-CN" w:bidi="zh-CN"/>
        </w:rPr>
      </w:pPr>
      <w:r>
        <w:rPr>
          <w:rFonts w:hint="eastAsia" w:ascii="仿宋" w:hAnsi="仿宋" w:eastAsia="仿宋" w:cs="Times New Roman"/>
          <w:color w:val="auto"/>
          <w:kern w:val="0"/>
          <w:sz w:val="28"/>
          <w:szCs w:val="28"/>
          <w:lang w:val="zh-CN" w:bidi="zh-CN"/>
        </w:rPr>
        <w:t>4. 实验实训与产学研合作：体育部注重实验实训条件的建设和产学研合作的开展，为学生提供充足的实践机会和平台。同时，与企业、体育机构等建立合作关系，共同推进人才培养质量的提升。</w:t>
      </w:r>
    </w:p>
    <w:p w14:paraId="2EDA985C">
      <w:pPr>
        <w:pageBreakBefore w:val="0"/>
        <w:widowControl w:val="0"/>
        <w:kinsoku/>
        <w:wordWrap/>
        <w:overflowPunct/>
        <w:topLinePunct w:val="0"/>
        <w:autoSpaceDE w:val="0"/>
        <w:autoSpaceDN w:val="0"/>
        <w:bidi w:val="0"/>
        <w:adjustRightInd/>
        <w:snapToGrid/>
        <w:spacing w:line="500" w:lineRule="exact"/>
        <w:ind w:left="0" w:right="0" w:firstLine="560" w:firstLineChars="200"/>
        <w:jc w:val="left"/>
        <w:textAlignment w:val="auto"/>
        <w:rPr>
          <w:rFonts w:hint="eastAsia" w:ascii="仿宋" w:hAnsi="仿宋" w:eastAsia="仿宋" w:cs="Times New Roman"/>
          <w:color w:val="auto"/>
          <w:kern w:val="0"/>
          <w:sz w:val="28"/>
          <w:szCs w:val="28"/>
          <w:lang w:val="zh-CN" w:bidi="zh-CN"/>
        </w:rPr>
      </w:pPr>
      <w:r>
        <w:rPr>
          <w:rFonts w:hint="eastAsia" w:ascii="仿宋" w:hAnsi="仿宋" w:eastAsia="仿宋" w:cs="Times New Roman"/>
          <w:color w:val="auto"/>
          <w:kern w:val="0"/>
          <w:sz w:val="28"/>
          <w:szCs w:val="28"/>
          <w:lang w:val="zh-CN" w:bidi="zh-CN"/>
        </w:rPr>
        <w:t>这些规章制度的有效运行，为体育部的人才培养工作提供了坚实的保障。</w:t>
      </w:r>
    </w:p>
    <w:p w14:paraId="0F22D248">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zh-CN" w:eastAsia="zh-CN"/>
        </w:rPr>
      </w:pPr>
      <w:bookmarkStart w:id="178" w:name="_Toc15902"/>
      <w:bookmarkStart w:id="179" w:name="_Toc5745"/>
      <w:bookmarkStart w:id="180" w:name="_Hlk182146229"/>
      <w:r>
        <w:rPr>
          <w:rFonts w:hint="eastAsia" w:ascii="仿宋" w:hAnsi="仿宋" w:eastAsia="仿宋" w:cs="仿宋"/>
          <w:b/>
          <w:bCs/>
          <w:color w:val="auto"/>
          <w:sz w:val="28"/>
          <w:szCs w:val="28"/>
          <w:lang w:val="zh-CN" w:eastAsia="zh-CN"/>
        </w:rPr>
        <w:t>7.</w:t>
      </w:r>
      <w:r>
        <w:rPr>
          <w:rFonts w:hint="eastAsia" w:ascii="仿宋" w:hAnsi="仿宋" w:eastAsia="仿宋" w:cs="仿宋"/>
          <w:b/>
          <w:bCs/>
          <w:color w:val="auto"/>
          <w:sz w:val="28"/>
          <w:szCs w:val="28"/>
          <w:lang w:val="en-US" w:eastAsia="zh-CN"/>
        </w:rPr>
        <w:t>3</w:t>
      </w:r>
      <w:r>
        <w:rPr>
          <w:rFonts w:hint="eastAsia" w:ascii="仿宋" w:hAnsi="仿宋" w:eastAsia="仿宋" w:cs="仿宋"/>
          <w:b/>
          <w:bCs/>
          <w:color w:val="auto"/>
          <w:sz w:val="28"/>
          <w:szCs w:val="28"/>
          <w:lang w:val="zh-CN" w:eastAsia="zh-CN"/>
        </w:rPr>
        <w:t>.2学院针对质量监控、质量评估和质量分析中发现问题的持续改进情况</w:t>
      </w:r>
      <w:bookmarkEnd w:id="178"/>
      <w:bookmarkEnd w:id="179"/>
    </w:p>
    <w:bookmarkEnd w:id="180"/>
    <w:p w14:paraId="6385B194">
      <w:pPr>
        <w:pageBreakBefore w:val="0"/>
        <w:widowControl w:val="0"/>
        <w:numPr>
          <w:ilvl w:val="0"/>
          <w:numId w:val="0"/>
        </w:numPr>
        <w:kinsoku/>
        <w:wordWrap/>
        <w:overflowPunct/>
        <w:topLinePunct w:val="0"/>
        <w:autoSpaceDE w:val="0"/>
        <w:autoSpaceDN w:val="0"/>
        <w:bidi w:val="0"/>
        <w:adjustRightInd/>
        <w:snapToGrid/>
        <w:spacing w:line="500" w:lineRule="exact"/>
        <w:ind w:leftChars="200" w:right="0" w:rightChars="0"/>
        <w:jc w:val="left"/>
        <w:textAlignment w:val="auto"/>
        <w:rPr>
          <w:rFonts w:hint="eastAsia" w:ascii="仿宋" w:hAnsi="仿宋" w:eastAsia="仿宋" w:cs="Times New Roman"/>
          <w:b/>
          <w:bCs/>
          <w:color w:val="auto"/>
          <w:kern w:val="0"/>
          <w:sz w:val="28"/>
          <w:szCs w:val="28"/>
          <w:lang w:val="zh-CN" w:bidi="zh-CN"/>
        </w:rPr>
      </w:pPr>
      <w:r>
        <w:rPr>
          <w:rFonts w:hint="eastAsia" w:ascii="仿宋" w:hAnsi="仿宋" w:cs="Times New Roman"/>
          <w:b/>
          <w:bCs/>
          <w:color w:val="auto"/>
          <w:kern w:val="0"/>
          <w:sz w:val="28"/>
          <w:szCs w:val="28"/>
          <w:lang w:val="zh-CN" w:bidi="zh-CN"/>
        </w:rPr>
        <w:t>☆</w:t>
      </w:r>
      <w:r>
        <w:rPr>
          <w:rFonts w:hint="eastAsia" w:ascii="仿宋" w:hAnsi="仿宋" w:cs="Times New Roman"/>
          <w:b/>
          <w:bCs/>
          <w:color w:val="auto"/>
          <w:kern w:val="0"/>
          <w:sz w:val="28"/>
          <w:szCs w:val="28"/>
          <w:lang w:val="en-US" w:bidi="zh-CN"/>
        </w:rPr>
        <w:t xml:space="preserve"> </w:t>
      </w:r>
      <w:r>
        <w:rPr>
          <w:rFonts w:hint="eastAsia" w:ascii="仿宋" w:hAnsi="仿宋" w:eastAsia="仿宋" w:cs="Times New Roman"/>
          <w:b/>
          <w:bCs/>
          <w:color w:val="auto"/>
          <w:kern w:val="0"/>
          <w:sz w:val="28"/>
          <w:szCs w:val="28"/>
          <w:lang w:val="zh-CN" w:bidi="zh-CN"/>
        </w:rPr>
        <w:t>体育部建立了完善的质量监控、质量评估和质量分析体系：</w:t>
      </w:r>
    </w:p>
    <w:p w14:paraId="63F77102">
      <w:pPr>
        <w:pageBreakBefore w:val="0"/>
        <w:widowControl w:val="0"/>
        <w:kinsoku/>
        <w:wordWrap/>
        <w:overflowPunct/>
        <w:topLinePunct w:val="0"/>
        <w:autoSpaceDE w:val="0"/>
        <w:autoSpaceDN w:val="0"/>
        <w:bidi w:val="0"/>
        <w:adjustRightInd/>
        <w:snapToGrid/>
        <w:spacing w:line="500" w:lineRule="exact"/>
        <w:ind w:left="0" w:right="0" w:firstLine="560" w:firstLineChars="200"/>
        <w:jc w:val="left"/>
        <w:textAlignment w:val="auto"/>
        <w:rPr>
          <w:rFonts w:hint="eastAsia" w:ascii="仿宋" w:hAnsi="仿宋" w:eastAsia="仿宋" w:cs="Times New Roman"/>
          <w:color w:val="auto"/>
          <w:kern w:val="0"/>
          <w:sz w:val="28"/>
          <w:szCs w:val="28"/>
          <w:lang w:val="zh-CN" w:bidi="zh-CN"/>
        </w:rPr>
      </w:pPr>
      <w:r>
        <w:rPr>
          <w:rFonts w:hint="eastAsia" w:ascii="仿宋" w:hAnsi="仿宋" w:eastAsia="仿宋" w:cs="Times New Roman"/>
          <w:color w:val="auto"/>
          <w:kern w:val="0"/>
          <w:sz w:val="28"/>
          <w:szCs w:val="28"/>
          <w:lang w:val="zh-CN" w:bidi="zh-CN"/>
        </w:rPr>
        <w:t>1. 质量监控：体育部通过教学检查、课堂观摩、学生反馈等方式，对教学过程进行实时监控，确保教学质量的稳定性和可控性。</w:t>
      </w:r>
    </w:p>
    <w:p w14:paraId="76A595F6">
      <w:pPr>
        <w:pageBreakBefore w:val="0"/>
        <w:widowControl w:val="0"/>
        <w:kinsoku/>
        <w:wordWrap/>
        <w:overflowPunct/>
        <w:topLinePunct w:val="0"/>
        <w:autoSpaceDE w:val="0"/>
        <w:autoSpaceDN w:val="0"/>
        <w:bidi w:val="0"/>
        <w:adjustRightInd/>
        <w:snapToGrid/>
        <w:spacing w:line="500" w:lineRule="exact"/>
        <w:ind w:left="0" w:right="0" w:firstLine="560" w:firstLineChars="200"/>
        <w:jc w:val="left"/>
        <w:textAlignment w:val="auto"/>
        <w:rPr>
          <w:rFonts w:hint="eastAsia" w:ascii="仿宋" w:hAnsi="仿宋" w:eastAsia="仿宋" w:cs="Times New Roman"/>
          <w:color w:val="auto"/>
          <w:kern w:val="0"/>
          <w:sz w:val="28"/>
          <w:szCs w:val="28"/>
          <w:lang w:val="zh-CN" w:bidi="zh-CN"/>
        </w:rPr>
      </w:pPr>
      <w:r>
        <w:rPr>
          <w:rFonts w:hint="eastAsia" w:ascii="仿宋" w:hAnsi="仿宋" w:eastAsia="仿宋" w:cs="Times New Roman"/>
          <w:color w:val="auto"/>
          <w:kern w:val="0"/>
          <w:sz w:val="28"/>
          <w:szCs w:val="28"/>
          <w:lang w:val="zh-CN" w:bidi="zh-CN"/>
        </w:rPr>
        <w:t>2. 质量评估：定期对人才培养方案、教学计划、课程质量等进行评估，根据评估结果调整和优化人才培养方案和教学计划。</w:t>
      </w:r>
    </w:p>
    <w:p w14:paraId="4EC654DD">
      <w:pPr>
        <w:pageBreakBefore w:val="0"/>
        <w:widowControl w:val="0"/>
        <w:kinsoku/>
        <w:wordWrap/>
        <w:overflowPunct/>
        <w:topLinePunct w:val="0"/>
        <w:autoSpaceDE w:val="0"/>
        <w:autoSpaceDN w:val="0"/>
        <w:bidi w:val="0"/>
        <w:adjustRightInd/>
        <w:snapToGrid/>
        <w:spacing w:line="500" w:lineRule="exact"/>
        <w:ind w:left="0" w:right="0" w:firstLine="560" w:firstLineChars="200"/>
        <w:jc w:val="left"/>
        <w:textAlignment w:val="auto"/>
        <w:rPr>
          <w:rFonts w:hint="eastAsia" w:ascii="仿宋" w:hAnsi="仿宋" w:eastAsia="仿宋" w:cs="Times New Roman"/>
          <w:color w:val="auto"/>
          <w:kern w:val="0"/>
          <w:sz w:val="28"/>
          <w:szCs w:val="28"/>
          <w:lang w:val="zh-CN" w:bidi="zh-CN"/>
        </w:rPr>
      </w:pPr>
      <w:r>
        <w:rPr>
          <w:rFonts w:hint="eastAsia" w:ascii="仿宋" w:hAnsi="仿宋" w:eastAsia="仿宋" w:cs="Times New Roman"/>
          <w:color w:val="auto"/>
          <w:kern w:val="0"/>
          <w:sz w:val="28"/>
          <w:szCs w:val="28"/>
          <w:lang w:val="zh-CN" w:bidi="zh-CN"/>
        </w:rPr>
        <w:t>3. 质量分析：对人才培养过程中产生的数据进行分析，找出存在的问题和不足之处。</w:t>
      </w:r>
    </w:p>
    <w:p w14:paraId="31EA1D2A">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Chars="0" w:right="0" w:rightChars="0" w:firstLine="562" w:firstLineChars="200"/>
        <w:jc w:val="left"/>
        <w:textAlignment w:val="auto"/>
        <w:rPr>
          <w:rFonts w:hint="eastAsia" w:ascii="仿宋" w:hAnsi="仿宋" w:eastAsia="仿宋" w:cs="Times New Roman"/>
          <w:b/>
          <w:bCs/>
          <w:color w:val="auto"/>
          <w:kern w:val="0"/>
          <w:sz w:val="28"/>
          <w:szCs w:val="28"/>
          <w:lang w:val="zh-CN" w:bidi="zh-CN"/>
        </w:rPr>
      </w:pPr>
      <w:r>
        <w:rPr>
          <w:rFonts w:hint="eastAsia" w:ascii="仿宋" w:hAnsi="仿宋" w:cs="Times New Roman"/>
          <w:b/>
          <w:bCs/>
          <w:color w:val="auto"/>
          <w:kern w:val="0"/>
          <w:sz w:val="28"/>
          <w:szCs w:val="28"/>
          <w:lang w:val="zh-CN" w:bidi="zh-CN"/>
        </w:rPr>
        <w:t>☆</w:t>
      </w:r>
      <w:r>
        <w:rPr>
          <w:rFonts w:hint="eastAsia" w:ascii="仿宋" w:hAnsi="仿宋" w:cs="Times New Roman"/>
          <w:b/>
          <w:bCs/>
          <w:color w:val="auto"/>
          <w:kern w:val="0"/>
          <w:sz w:val="28"/>
          <w:szCs w:val="28"/>
          <w:lang w:val="en-US" w:bidi="zh-CN"/>
        </w:rPr>
        <w:t xml:space="preserve"> </w:t>
      </w:r>
      <w:r>
        <w:rPr>
          <w:rFonts w:hint="eastAsia" w:ascii="仿宋" w:hAnsi="仿宋" w:eastAsia="仿宋" w:cs="Times New Roman"/>
          <w:b/>
          <w:bCs/>
          <w:color w:val="auto"/>
          <w:kern w:val="0"/>
          <w:sz w:val="28"/>
          <w:szCs w:val="28"/>
          <w:lang w:val="zh-CN" w:bidi="zh-CN"/>
        </w:rPr>
        <w:t>针对质量监控、质量评估和质量分析中发现的问题，体育部采取了以下措施进行持续改进：</w:t>
      </w:r>
    </w:p>
    <w:p w14:paraId="163771B8">
      <w:pPr>
        <w:pageBreakBefore w:val="0"/>
        <w:widowControl w:val="0"/>
        <w:kinsoku/>
        <w:wordWrap/>
        <w:overflowPunct/>
        <w:topLinePunct w:val="0"/>
        <w:autoSpaceDE w:val="0"/>
        <w:autoSpaceDN w:val="0"/>
        <w:bidi w:val="0"/>
        <w:adjustRightInd/>
        <w:snapToGrid/>
        <w:spacing w:line="500" w:lineRule="exact"/>
        <w:ind w:left="0" w:right="0" w:firstLine="560" w:firstLineChars="200"/>
        <w:jc w:val="left"/>
        <w:textAlignment w:val="auto"/>
        <w:rPr>
          <w:rFonts w:hint="eastAsia" w:ascii="仿宋" w:hAnsi="仿宋" w:eastAsia="仿宋" w:cs="Times New Roman"/>
          <w:color w:val="auto"/>
          <w:kern w:val="0"/>
          <w:sz w:val="28"/>
          <w:szCs w:val="28"/>
          <w:lang w:val="zh-CN" w:bidi="zh-CN"/>
        </w:rPr>
      </w:pPr>
      <w:r>
        <w:rPr>
          <w:rFonts w:hint="eastAsia" w:ascii="仿宋" w:hAnsi="仿宋" w:eastAsia="仿宋" w:cs="Times New Roman"/>
          <w:color w:val="auto"/>
          <w:kern w:val="0"/>
          <w:sz w:val="28"/>
          <w:szCs w:val="28"/>
          <w:lang w:val="zh-CN" w:bidi="zh-CN"/>
        </w:rPr>
        <w:t>1.优化课程设置：根据评估结果和学生反馈，调整课程设置，增加实践课程和跨学科课程，提升学生的综合素质和创新能力。</w:t>
      </w:r>
    </w:p>
    <w:p w14:paraId="5EDCBC21">
      <w:pPr>
        <w:pageBreakBefore w:val="0"/>
        <w:widowControl w:val="0"/>
        <w:kinsoku/>
        <w:wordWrap/>
        <w:overflowPunct/>
        <w:topLinePunct w:val="0"/>
        <w:autoSpaceDE w:val="0"/>
        <w:autoSpaceDN w:val="0"/>
        <w:bidi w:val="0"/>
        <w:adjustRightInd/>
        <w:snapToGrid/>
        <w:spacing w:line="500" w:lineRule="exact"/>
        <w:ind w:left="0" w:right="0" w:firstLine="560" w:firstLineChars="200"/>
        <w:jc w:val="left"/>
        <w:textAlignment w:val="auto"/>
        <w:rPr>
          <w:rFonts w:hint="eastAsia" w:ascii="仿宋" w:hAnsi="仿宋" w:eastAsia="仿宋" w:cs="Times New Roman"/>
          <w:color w:val="auto"/>
          <w:kern w:val="0"/>
          <w:sz w:val="28"/>
          <w:szCs w:val="28"/>
          <w:lang w:val="zh-CN" w:bidi="zh-CN"/>
        </w:rPr>
      </w:pPr>
      <w:r>
        <w:rPr>
          <w:rFonts w:hint="eastAsia" w:ascii="仿宋" w:hAnsi="仿宋" w:eastAsia="仿宋" w:cs="Times New Roman"/>
          <w:color w:val="auto"/>
          <w:kern w:val="0"/>
          <w:sz w:val="28"/>
          <w:szCs w:val="28"/>
          <w:lang w:val="zh-CN" w:bidi="zh-CN"/>
        </w:rPr>
        <w:t>2.加强师资队伍建设：加大对教师的培养力度，提高教师的专业素养和教学能力。同时，引进高水平的体育教师，优化师资结构。</w:t>
      </w:r>
    </w:p>
    <w:p w14:paraId="2671A2C8">
      <w:pPr>
        <w:pageBreakBefore w:val="0"/>
        <w:widowControl w:val="0"/>
        <w:kinsoku/>
        <w:wordWrap/>
        <w:overflowPunct/>
        <w:topLinePunct w:val="0"/>
        <w:autoSpaceDE w:val="0"/>
        <w:autoSpaceDN w:val="0"/>
        <w:bidi w:val="0"/>
        <w:adjustRightInd/>
        <w:snapToGrid/>
        <w:spacing w:line="500" w:lineRule="exact"/>
        <w:ind w:left="0" w:right="0" w:firstLine="560" w:firstLineChars="200"/>
        <w:jc w:val="left"/>
        <w:textAlignment w:val="auto"/>
        <w:rPr>
          <w:rFonts w:hint="eastAsia" w:ascii="仿宋" w:hAnsi="仿宋" w:eastAsia="仿宋" w:cs="Times New Roman"/>
          <w:color w:val="auto"/>
          <w:kern w:val="0"/>
          <w:sz w:val="28"/>
          <w:szCs w:val="28"/>
          <w:lang w:val="zh-CN" w:bidi="zh-CN"/>
        </w:rPr>
      </w:pPr>
      <w:r>
        <w:rPr>
          <w:rFonts w:hint="eastAsia" w:ascii="仿宋" w:hAnsi="仿宋" w:eastAsia="仿宋" w:cs="Times New Roman"/>
          <w:color w:val="auto"/>
          <w:kern w:val="0"/>
          <w:sz w:val="28"/>
          <w:szCs w:val="28"/>
          <w:lang w:val="zh-CN" w:bidi="zh-CN"/>
        </w:rPr>
        <w:t>3.完善实验实训条件：加大对实验实训条件的投入，更新实验设备，提升实验实训水平。同时，加强与企业、体育机构的合作，为学生提供更多的实践机会。</w:t>
      </w:r>
    </w:p>
    <w:p w14:paraId="10C034EA">
      <w:pPr>
        <w:pageBreakBefore w:val="0"/>
        <w:widowControl w:val="0"/>
        <w:kinsoku/>
        <w:wordWrap/>
        <w:overflowPunct/>
        <w:topLinePunct w:val="0"/>
        <w:autoSpaceDE w:val="0"/>
        <w:autoSpaceDN w:val="0"/>
        <w:bidi w:val="0"/>
        <w:adjustRightInd/>
        <w:snapToGrid/>
        <w:spacing w:line="500" w:lineRule="exact"/>
        <w:ind w:left="0" w:right="0" w:firstLine="560" w:firstLineChars="200"/>
        <w:jc w:val="left"/>
        <w:textAlignment w:val="auto"/>
        <w:rPr>
          <w:rFonts w:hint="eastAsia" w:ascii="仿宋" w:hAnsi="仿宋" w:eastAsia="仿宋" w:cs="Times New Roman"/>
          <w:color w:val="auto"/>
          <w:kern w:val="0"/>
          <w:sz w:val="28"/>
          <w:szCs w:val="28"/>
          <w:lang w:val="zh-CN" w:bidi="zh-CN"/>
        </w:rPr>
      </w:pPr>
      <w:r>
        <w:rPr>
          <w:rFonts w:hint="eastAsia" w:ascii="仿宋" w:hAnsi="仿宋" w:eastAsia="仿宋" w:cs="Times New Roman"/>
          <w:color w:val="auto"/>
          <w:kern w:val="0"/>
          <w:sz w:val="28"/>
          <w:szCs w:val="28"/>
          <w:lang w:val="zh-CN" w:bidi="zh-CN"/>
        </w:rPr>
        <w:t>4.强化质量意识：加强对全体师生的质量意识教育，提高大家对人才培养质量的重视程度。同时，建立质量责任制，将质量责任落实到具体的部门和个人。</w:t>
      </w:r>
    </w:p>
    <w:p w14:paraId="41DC5A5A">
      <w:pPr>
        <w:pageBreakBefore w:val="0"/>
        <w:widowControl w:val="0"/>
        <w:kinsoku/>
        <w:wordWrap/>
        <w:overflowPunct/>
        <w:topLinePunct w:val="0"/>
        <w:autoSpaceDE w:val="0"/>
        <w:autoSpaceDN w:val="0"/>
        <w:bidi w:val="0"/>
        <w:adjustRightInd/>
        <w:snapToGrid/>
        <w:spacing w:line="500" w:lineRule="exact"/>
        <w:ind w:left="0" w:right="0" w:firstLine="560" w:firstLineChars="200"/>
        <w:jc w:val="left"/>
        <w:textAlignment w:val="auto"/>
        <w:rPr>
          <w:rFonts w:ascii="Times New Roman" w:hAnsi="Times New Roman" w:eastAsia="仿宋" w:cs="Times New Roman"/>
          <w:color w:val="auto"/>
          <w:kern w:val="0"/>
          <w:sz w:val="28"/>
          <w:szCs w:val="28"/>
          <w:lang w:val="zh-CN" w:bidi="zh-CN"/>
        </w:rPr>
      </w:pPr>
      <w:r>
        <w:rPr>
          <w:rFonts w:hint="eastAsia" w:ascii="仿宋" w:hAnsi="仿宋" w:eastAsia="仿宋" w:cs="Times New Roman"/>
          <w:color w:val="auto"/>
          <w:kern w:val="0"/>
          <w:sz w:val="28"/>
          <w:szCs w:val="28"/>
          <w:lang w:val="zh-CN" w:bidi="zh-CN"/>
        </w:rPr>
        <w:t>通过分析比较学校近三年人才培养核心数据的变化态势，可以明显看出体育部在人才培养工作方面取得了显著的成效：</w:t>
      </w:r>
      <w:r>
        <w:rPr>
          <w:rFonts w:hint="eastAsia" w:ascii="仿宋" w:hAnsi="仿宋" w:eastAsia="仿宋" w:cs="Times New Roman"/>
          <w:b/>
          <w:bCs/>
          <w:color w:val="auto"/>
          <w:kern w:val="0"/>
          <w:sz w:val="28"/>
          <w:szCs w:val="28"/>
          <w:lang w:val="zh-CN" w:bidi="zh-CN"/>
        </w:rPr>
        <w:t>1.</w:t>
      </w:r>
      <w:r>
        <w:rPr>
          <w:rFonts w:hint="eastAsia" w:ascii="Times New Roman" w:hAnsi="Times New Roman" w:eastAsia="仿宋" w:cs="Times New Roman"/>
          <w:b/>
          <w:bCs/>
          <w:color w:val="auto"/>
          <w:kern w:val="0"/>
          <w:sz w:val="28"/>
          <w:szCs w:val="28"/>
          <w:lang w:val="zh-CN" w:bidi="zh-CN"/>
        </w:rPr>
        <w:t>教学事故率：连续三年为0；2.课程优化率：2024年修订课程大纲占比30%，新增跨学科课程4门。</w:t>
      </w:r>
      <w:r>
        <w:rPr>
          <w:rFonts w:hint="eastAsia" w:ascii="仿宋" w:hAnsi="仿宋" w:eastAsia="仿宋" w:cs="Times New Roman"/>
          <w:color w:val="auto"/>
          <w:kern w:val="0"/>
          <w:sz w:val="28"/>
          <w:szCs w:val="28"/>
          <w:lang w:val="zh-CN" w:bidi="zh-CN"/>
        </w:rPr>
        <w:t>学生的综合素质和创新能力得到了提升，这些成绩的取得，离不开体育部在人才培养各环节中的有序运行和持续改进。</w:t>
      </w:r>
    </w:p>
    <w:p w14:paraId="0BF41455">
      <w:pPr>
        <w:pageBreakBefore w:val="0"/>
        <w:widowControl w:val="0"/>
        <w:kinsoku/>
        <w:wordWrap/>
        <w:overflowPunct/>
        <w:topLinePunct w:val="0"/>
        <w:autoSpaceDE w:val="0"/>
        <w:autoSpaceDN w:val="0"/>
        <w:bidi w:val="0"/>
        <w:adjustRightInd/>
        <w:snapToGrid/>
        <w:spacing w:line="500" w:lineRule="exact"/>
        <w:ind w:left="0" w:right="0" w:firstLine="560" w:firstLineChars="200"/>
        <w:jc w:val="left"/>
        <w:textAlignment w:val="auto"/>
        <w:rPr>
          <w:rFonts w:ascii="Times New Roman" w:hAnsi="Times New Roman" w:eastAsia="仿宋" w:cs="Times New Roman"/>
          <w:b/>
          <w:bCs/>
          <w:color w:val="auto"/>
          <w:kern w:val="0"/>
          <w:sz w:val="28"/>
          <w:szCs w:val="28"/>
          <w:lang w:val="zh-CN" w:bidi="zh-CN"/>
        </w:rPr>
      </w:pPr>
      <w:r>
        <w:rPr>
          <w:rFonts w:hint="eastAsia" w:ascii="仿宋" w:hAnsi="仿宋" w:eastAsia="仿宋" w:cs="Times New Roman"/>
          <w:color w:val="auto"/>
          <w:kern w:val="0"/>
          <w:sz w:val="28"/>
          <w:szCs w:val="28"/>
          <w:lang w:val="zh-CN" w:bidi="zh-CN"/>
        </w:rPr>
        <w:t>综上所述，体育部在人才培养各环节中做到了有序运行、无教学事故，并且在教学工作方面持续改进、持续提升。2025</w:t>
      </w:r>
      <w:r>
        <w:rPr>
          <w:rFonts w:ascii="仿宋" w:hAnsi="仿宋" w:eastAsia="仿宋" w:cs="Times New Roman"/>
          <w:color w:val="auto"/>
          <w:kern w:val="0"/>
          <w:sz w:val="28"/>
          <w:szCs w:val="28"/>
          <w:lang w:val="zh-CN" w:bidi="zh-CN"/>
        </w:rPr>
        <w:t>年</w:t>
      </w:r>
      <w:r>
        <w:rPr>
          <w:rFonts w:hint="eastAsia" w:ascii="仿宋" w:hAnsi="仿宋" w:eastAsia="仿宋" w:cs="Times New Roman"/>
          <w:color w:val="auto"/>
          <w:kern w:val="0"/>
          <w:sz w:val="28"/>
          <w:szCs w:val="28"/>
          <w:lang w:val="zh-CN" w:bidi="zh-CN"/>
        </w:rPr>
        <w:t>，体育部将建立并实施1.</w:t>
      </w:r>
      <w:r>
        <w:rPr>
          <w:rFonts w:hint="eastAsia" w:ascii="Times New Roman" w:hAnsi="Times New Roman" w:eastAsia="仿宋" w:cs="Times New Roman"/>
          <w:b/>
          <w:bCs/>
          <w:color w:val="auto"/>
          <w:kern w:val="0"/>
          <w:sz w:val="28"/>
          <w:szCs w:val="28"/>
          <w:lang w:val="zh-CN" w:bidi="zh-CN"/>
        </w:rPr>
        <w:t>制度动态管理</w:t>
      </w:r>
      <w:r>
        <w:rPr>
          <w:rFonts w:hint="eastAsia" w:ascii="Times New Roman" w:hAnsi="Times New Roman" w:eastAsia="仿宋" w:cs="Times New Roman"/>
          <w:color w:val="auto"/>
          <w:kern w:val="0"/>
          <w:sz w:val="28"/>
          <w:szCs w:val="28"/>
          <w:lang w:val="zh-CN" w:bidi="zh-CN"/>
        </w:rPr>
        <w:t>：</w:t>
      </w:r>
      <w:r>
        <w:rPr>
          <w:rFonts w:hint="eastAsia" w:ascii="Times New Roman" w:hAnsi="Times New Roman" w:eastAsia="仿宋" w:cs="Times New Roman"/>
          <w:b/>
          <w:bCs/>
          <w:color w:val="auto"/>
          <w:kern w:val="0"/>
          <w:sz w:val="28"/>
          <w:szCs w:val="28"/>
          <w:lang w:val="zh-CN" w:bidi="zh-CN"/>
        </w:rPr>
        <w:t>每学期召开1次教学管理听证会，吸纳师生建议；2.</w:t>
      </w:r>
      <w:r>
        <w:rPr>
          <w:rFonts w:hint="eastAsia" w:ascii="Times New Roman" w:hAnsi="Times New Roman" w:eastAsia="仿宋" w:cs="Times New Roman"/>
          <w:color w:val="auto"/>
          <w:kern w:val="0"/>
          <w:sz w:val="28"/>
          <w:szCs w:val="28"/>
          <w:lang w:val="zh-CN" w:bidi="zh-CN"/>
        </w:rPr>
        <w:t xml:space="preserve"> </w:t>
      </w:r>
      <w:r>
        <w:rPr>
          <w:rFonts w:hint="eastAsia" w:ascii="Times New Roman" w:hAnsi="Times New Roman" w:eastAsia="仿宋" w:cs="Times New Roman"/>
          <w:b/>
          <w:bCs/>
          <w:color w:val="auto"/>
          <w:kern w:val="0"/>
          <w:sz w:val="28"/>
          <w:szCs w:val="28"/>
          <w:lang w:val="zh-CN" w:bidi="zh-CN"/>
        </w:rPr>
        <w:t>问题闭环机制：建立“质量改进台账”，整改完成率目标100%。</w:t>
      </w:r>
    </w:p>
    <w:p w14:paraId="6B4292B9">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eastAsia" w:ascii="黑体" w:hAnsi="黑体" w:eastAsia="黑体" w:cs="黑体"/>
          <w:b/>
          <w:bCs/>
          <w:color w:val="auto"/>
          <w:sz w:val="32"/>
          <w:szCs w:val="32"/>
          <w:lang w:val="zh-CN" w:eastAsia="zh-CN"/>
        </w:rPr>
      </w:pPr>
      <w:bookmarkStart w:id="181" w:name="_Toc24169"/>
      <w:r>
        <w:rPr>
          <w:rFonts w:hint="eastAsia" w:ascii="黑体" w:hAnsi="黑体" w:eastAsia="黑体" w:cs="黑体"/>
          <w:b/>
          <w:bCs/>
          <w:color w:val="auto"/>
          <w:sz w:val="32"/>
          <w:szCs w:val="32"/>
          <w:lang w:val="zh-CN" w:eastAsia="zh-CN"/>
        </w:rPr>
        <w:t>7.</w:t>
      </w:r>
      <w:r>
        <w:rPr>
          <w:rFonts w:hint="eastAsia" w:ascii="黑体" w:hAnsi="黑体" w:cs="黑体"/>
          <w:b/>
          <w:bCs/>
          <w:color w:val="auto"/>
          <w:sz w:val="32"/>
          <w:szCs w:val="32"/>
          <w:lang w:val="en-US" w:eastAsia="zh-CN"/>
        </w:rPr>
        <w:t xml:space="preserve">4 </w:t>
      </w:r>
      <w:r>
        <w:rPr>
          <w:rFonts w:hint="eastAsia" w:ascii="黑体" w:hAnsi="黑体" w:eastAsia="黑体" w:cs="黑体"/>
          <w:b/>
          <w:bCs/>
          <w:color w:val="auto"/>
          <w:sz w:val="32"/>
          <w:szCs w:val="32"/>
          <w:lang w:val="zh-CN" w:eastAsia="zh-CN"/>
        </w:rPr>
        <w:t>满意度</w:t>
      </w:r>
      <w:bookmarkEnd w:id="181"/>
    </w:p>
    <w:p w14:paraId="08461173">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zh-CN" w:eastAsia="zh-CN"/>
        </w:rPr>
      </w:pPr>
      <w:bookmarkStart w:id="182" w:name="_Toc8675"/>
      <w:bookmarkStart w:id="183" w:name="_Toc2452"/>
      <w:r>
        <w:rPr>
          <w:rFonts w:hint="eastAsia" w:ascii="仿宋" w:hAnsi="仿宋" w:eastAsia="仿宋" w:cs="仿宋"/>
          <w:b/>
          <w:bCs/>
          <w:color w:val="auto"/>
          <w:sz w:val="28"/>
          <w:szCs w:val="28"/>
          <w:lang w:val="zh-CN" w:eastAsia="zh-CN"/>
        </w:rPr>
        <w:t>7.</w:t>
      </w:r>
      <w:r>
        <w:rPr>
          <w:rFonts w:hint="eastAsia" w:ascii="仿宋" w:hAnsi="仿宋" w:eastAsia="仿宋" w:cs="仿宋"/>
          <w:b/>
          <w:bCs/>
          <w:color w:val="auto"/>
          <w:sz w:val="28"/>
          <w:szCs w:val="28"/>
          <w:lang w:val="en-US" w:eastAsia="zh-CN"/>
        </w:rPr>
        <w:t>4</w:t>
      </w:r>
      <w:r>
        <w:rPr>
          <w:rFonts w:hint="eastAsia" w:ascii="仿宋" w:hAnsi="仿宋" w:eastAsia="仿宋" w:cs="仿宋"/>
          <w:b/>
          <w:bCs/>
          <w:color w:val="auto"/>
          <w:sz w:val="28"/>
          <w:szCs w:val="28"/>
          <w:lang w:val="zh-CN" w:eastAsia="zh-CN"/>
        </w:rPr>
        <w:t>.1学生（毕业生与在校生）对学习与成长的满意度</w:t>
      </w:r>
      <w:bookmarkEnd w:id="182"/>
      <w:bookmarkEnd w:id="183"/>
    </w:p>
    <w:p w14:paraId="53D90E89">
      <w:pPr>
        <w:pageBreakBefore w:val="0"/>
        <w:widowControl w:val="0"/>
        <w:kinsoku/>
        <w:wordWrap/>
        <w:overflowPunct/>
        <w:topLinePunct w:val="0"/>
        <w:autoSpaceDE w:val="0"/>
        <w:autoSpaceDN w:val="0"/>
        <w:bidi w:val="0"/>
        <w:adjustRightInd/>
        <w:snapToGrid/>
        <w:spacing w:line="500" w:lineRule="exact"/>
        <w:ind w:left="0" w:right="0" w:firstLine="562" w:firstLineChars="200"/>
        <w:jc w:val="left"/>
        <w:textAlignment w:val="auto"/>
        <w:rPr>
          <w:rFonts w:hint="eastAsia" w:ascii="仿宋" w:hAnsi="仿宋" w:eastAsia="仿宋" w:cs="Times New Roman"/>
          <w:b/>
          <w:bCs/>
          <w:color w:val="auto"/>
          <w:kern w:val="0"/>
          <w:sz w:val="28"/>
          <w:szCs w:val="28"/>
          <w:lang w:val="zh-CN" w:bidi="zh-CN"/>
        </w:rPr>
      </w:pPr>
      <w:r>
        <w:rPr>
          <w:rFonts w:hint="eastAsia" w:ascii="仿宋" w:hAnsi="仿宋" w:eastAsia="仿宋" w:cs="Times New Roman"/>
          <w:b/>
          <w:bCs/>
          <w:color w:val="auto"/>
          <w:kern w:val="0"/>
          <w:sz w:val="28"/>
          <w:szCs w:val="28"/>
          <w:lang w:val="zh-CN" w:bidi="zh-CN"/>
        </w:rPr>
        <w:t>（1）核心数据（2024年调查）</w:t>
      </w:r>
    </w:p>
    <w:p w14:paraId="0C82E3E8">
      <w:pPr>
        <w:pageBreakBefore w:val="0"/>
        <w:widowControl w:val="0"/>
        <w:kinsoku/>
        <w:wordWrap/>
        <w:overflowPunct/>
        <w:topLinePunct w:val="0"/>
        <w:autoSpaceDE w:val="0"/>
        <w:autoSpaceDN w:val="0"/>
        <w:bidi w:val="0"/>
        <w:adjustRightInd/>
        <w:snapToGrid/>
        <w:spacing w:line="500" w:lineRule="exact"/>
        <w:ind w:left="0" w:right="0" w:firstLine="560" w:firstLineChars="200"/>
        <w:jc w:val="left"/>
        <w:textAlignment w:val="auto"/>
        <w:rPr>
          <w:rFonts w:hint="eastAsia" w:ascii="仿宋" w:hAnsi="仿宋" w:eastAsia="仿宋" w:cs="Times New Roman"/>
          <w:color w:val="auto"/>
          <w:kern w:val="0"/>
          <w:sz w:val="28"/>
          <w:szCs w:val="28"/>
          <w:lang w:val="zh-CN" w:bidi="zh-CN"/>
        </w:rPr>
      </w:pPr>
      <w:r>
        <w:rPr>
          <w:rFonts w:hint="eastAsia" w:ascii="仿宋" w:hAnsi="仿宋" w:eastAsia="仿宋" w:cs="Times New Roman"/>
          <w:color w:val="auto"/>
          <w:kern w:val="0"/>
          <w:sz w:val="28"/>
          <w:szCs w:val="28"/>
          <w:lang w:val="zh-CN" w:bidi="zh-CN"/>
        </w:rPr>
        <w:t>总体满意度：在校生89%、毕业生87%；分项最高：体育设施满意度92%、教师专业水平满意度90%；分项最低：职业规划服务满意度75%（改进重点）。</w:t>
      </w:r>
    </w:p>
    <w:p w14:paraId="0D975B51">
      <w:pPr>
        <w:pageBreakBefore w:val="0"/>
        <w:widowControl w:val="0"/>
        <w:kinsoku/>
        <w:wordWrap/>
        <w:overflowPunct/>
        <w:topLinePunct w:val="0"/>
        <w:autoSpaceDE w:val="0"/>
        <w:autoSpaceDN w:val="0"/>
        <w:bidi w:val="0"/>
        <w:adjustRightInd/>
        <w:snapToGrid/>
        <w:spacing w:line="500" w:lineRule="exact"/>
        <w:ind w:left="0" w:right="0" w:firstLine="562" w:firstLineChars="200"/>
        <w:jc w:val="left"/>
        <w:textAlignment w:val="auto"/>
        <w:rPr>
          <w:rFonts w:hint="eastAsia" w:ascii="仿宋" w:hAnsi="仿宋" w:eastAsia="仿宋" w:cs="Times New Roman"/>
          <w:b/>
          <w:bCs/>
          <w:color w:val="auto"/>
          <w:kern w:val="0"/>
          <w:sz w:val="28"/>
          <w:szCs w:val="28"/>
          <w:lang w:val="zh-CN" w:bidi="zh-CN"/>
        </w:rPr>
      </w:pPr>
      <w:r>
        <w:rPr>
          <w:rFonts w:hint="eastAsia" w:ascii="仿宋" w:hAnsi="仿宋" w:eastAsia="仿宋" w:cs="Times New Roman"/>
          <w:b/>
          <w:bCs/>
          <w:color w:val="auto"/>
          <w:kern w:val="0"/>
          <w:sz w:val="28"/>
          <w:szCs w:val="28"/>
          <w:lang w:val="zh-CN" w:bidi="zh-CN"/>
        </w:rPr>
        <w:t>（2）改进措施</w:t>
      </w:r>
    </w:p>
    <w:p w14:paraId="13904C3A">
      <w:pPr>
        <w:pageBreakBefore w:val="0"/>
        <w:widowControl w:val="0"/>
        <w:kinsoku/>
        <w:wordWrap/>
        <w:overflowPunct/>
        <w:topLinePunct w:val="0"/>
        <w:autoSpaceDE w:val="0"/>
        <w:autoSpaceDN w:val="0"/>
        <w:bidi w:val="0"/>
        <w:adjustRightInd/>
        <w:snapToGrid/>
        <w:spacing w:line="500" w:lineRule="exact"/>
        <w:ind w:left="0" w:right="0" w:firstLine="560" w:firstLineChars="200"/>
        <w:jc w:val="left"/>
        <w:textAlignment w:val="auto"/>
        <w:rPr>
          <w:rFonts w:hint="eastAsia" w:ascii="仿宋" w:hAnsi="仿宋" w:eastAsia="仿宋" w:cs="Times New Roman"/>
          <w:color w:val="auto"/>
          <w:kern w:val="0"/>
          <w:sz w:val="28"/>
          <w:szCs w:val="28"/>
          <w:lang w:val="zh-CN" w:bidi="zh-CN"/>
        </w:rPr>
      </w:pPr>
      <w:r>
        <w:rPr>
          <w:rFonts w:hint="eastAsia" w:ascii="仿宋" w:hAnsi="仿宋" w:eastAsia="仿宋" w:cs="Times New Roman"/>
          <w:color w:val="auto"/>
          <w:kern w:val="0"/>
          <w:sz w:val="28"/>
          <w:szCs w:val="28"/>
          <w:lang w:val="zh-CN" w:bidi="zh-CN"/>
        </w:rPr>
        <w:t>职业服务强化：增设“体育行业导师制”，每年举办2场校企对接会。</w:t>
      </w:r>
    </w:p>
    <w:p w14:paraId="2AAE0C29">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zh-CN" w:eastAsia="zh-CN"/>
        </w:rPr>
      </w:pPr>
      <w:bookmarkStart w:id="184" w:name="_Toc13076"/>
      <w:bookmarkStart w:id="185" w:name="_Toc21636"/>
      <w:bookmarkStart w:id="186" w:name="_Hlk182135195"/>
      <w:r>
        <w:rPr>
          <w:rFonts w:hint="eastAsia" w:ascii="仿宋" w:hAnsi="仿宋" w:eastAsia="仿宋" w:cs="仿宋"/>
          <w:b/>
          <w:bCs/>
          <w:color w:val="auto"/>
          <w:sz w:val="28"/>
          <w:szCs w:val="28"/>
          <w:lang w:val="zh-CN" w:eastAsia="zh-CN"/>
        </w:rPr>
        <w:t>7.</w:t>
      </w:r>
      <w:r>
        <w:rPr>
          <w:rFonts w:hint="eastAsia" w:ascii="仿宋" w:hAnsi="仿宋" w:eastAsia="仿宋" w:cs="仿宋"/>
          <w:b/>
          <w:bCs/>
          <w:color w:val="auto"/>
          <w:sz w:val="28"/>
          <w:szCs w:val="28"/>
          <w:lang w:val="en-US" w:eastAsia="zh-CN"/>
        </w:rPr>
        <w:t>4</w:t>
      </w:r>
      <w:r>
        <w:rPr>
          <w:rFonts w:hint="eastAsia" w:ascii="仿宋" w:hAnsi="仿宋" w:eastAsia="仿宋" w:cs="仿宋"/>
          <w:b/>
          <w:bCs/>
          <w:color w:val="auto"/>
          <w:sz w:val="28"/>
          <w:szCs w:val="28"/>
          <w:lang w:val="zh-CN" w:eastAsia="zh-CN"/>
        </w:rPr>
        <w:t>.2教师对体育部教育教学工作的满意度</w:t>
      </w:r>
      <w:bookmarkEnd w:id="184"/>
      <w:bookmarkEnd w:id="185"/>
    </w:p>
    <w:bookmarkEnd w:id="186"/>
    <w:p w14:paraId="0AB81FBA">
      <w:pPr>
        <w:pageBreakBefore w:val="0"/>
        <w:widowControl w:val="0"/>
        <w:kinsoku/>
        <w:wordWrap/>
        <w:overflowPunct/>
        <w:topLinePunct w:val="0"/>
        <w:autoSpaceDE w:val="0"/>
        <w:autoSpaceDN w:val="0"/>
        <w:bidi w:val="0"/>
        <w:adjustRightInd/>
        <w:snapToGrid/>
        <w:spacing w:line="500" w:lineRule="exact"/>
        <w:ind w:left="0" w:right="0" w:firstLine="560" w:firstLineChars="200"/>
        <w:jc w:val="left"/>
        <w:textAlignment w:val="auto"/>
        <w:rPr>
          <w:rFonts w:ascii="Times New Roman" w:hAnsi="Times New Roman" w:eastAsia="仿宋" w:cs="Times New Roman"/>
          <w:color w:val="auto"/>
          <w:kern w:val="0"/>
          <w:sz w:val="28"/>
          <w:szCs w:val="28"/>
          <w:lang w:val="zh-CN" w:bidi="zh-CN"/>
        </w:rPr>
      </w:pPr>
      <w:r>
        <w:rPr>
          <w:rFonts w:hint="eastAsia" w:ascii="Times New Roman" w:hAnsi="Times New Roman" w:eastAsia="仿宋" w:cs="Times New Roman"/>
          <w:color w:val="auto"/>
          <w:kern w:val="0"/>
          <w:sz w:val="28"/>
          <w:szCs w:val="28"/>
          <w:lang w:val="zh-CN" w:bidi="zh-CN"/>
        </w:rPr>
        <w:t>（1）核心数据（2024年）</w:t>
      </w:r>
    </w:p>
    <w:p w14:paraId="0E1F96DC">
      <w:pPr>
        <w:pageBreakBefore w:val="0"/>
        <w:widowControl w:val="0"/>
        <w:kinsoku/>
        <w:wordWrap/>
        <w:overflowPunct/>
        <w:topLinePunct w:val="0"/>
        <w:autoSpaceDE w:val="0"/>
        <w:autoSpaceDN w:val="0"/>
        <w:bidi w:val="0"/>
        <w:adjustRightInd/>
        <w:snapToGrid/>
        <w:spacing w:line="500" w:lineRule="exact"/>
        <w:ind w:left="0" w:right="0" w:firstLine="560" w:firstLineChars="200"/>
        <w:jc w:val="left"/>
        <w:textAlignment w:val="auto"/>
        <w:rPr>
          <w:rFonts w:ascii="Times New Roman" w:hAnsi="Times New Roman" w:eastAsia="仿宋" w:cs="Times New Roman"/>
          <w:color w:val="auto"/>
          <w:kern w:val="0"/>
          <w:sz w:val="28"/>
          <w:szCs w:val="28"/>
          <w:lang w:val="zh-CN" w:bidi="zh-CN"/>
        </w:rPr>
      </w:pPr>
      <w:r>
        <w:rPr>
          <w:rFonts w:hint="eastAsia" w:ascii="Times New Roman" w:hAnsi="Times New Roman" w:eastAsia="仿宋" w:cs="Times New Roman"/>
          <w:color w:val="auto"/>
          <w:kern w:val="0"/>
          <w:sz w:val="28"/>
          <w:szCs w:val="28"/>
          <w:lang w:val="zh-CN" w:bidi="zh-CN"/>
        </w:rPr>
        <w:t>总体满意度：80%（较2022年提升9%）；主要诉求：科研支持（65%教师建议增加经费）、行政效率（55%建议优化流程）。</w:t>
      </w:r>
    </w:p>
    <w:p w14:paraId="3C6BC0F9">
      <w:pPr>
        <w:pageBreakBefore w:val="0"/>
        <w:widowControl w:val="0"/>
        <w:kinsoku/>
        <w:wordWrap/>
        <w:overflowPunct/>
        <w:topLinePunct w:val="0"/>
        <w:autoSpaceDE w:val="0"/>
        <w:autoSpaceDN w:val="0"/>
        <w:bidi w:val="0"/>
        <w:adjustRightInd/>
        <w:snapToGrid/>
        <w:spacing w:line="500" w:lineRule="exact"/>
        <w:ind w:left="0" w:right="0" w:firstLine="560" w:firstLineChars="200"/>
        <w:jc w:val="left"/>
        <w:textAlignment w:val="auto"/>
        <w:rPr>
          <w:rFonts w:ascii="Times New Roman" w:hAnsi="Times New Roman" w:eastAsia="仿宋" w:cs="Times New Roman"/>
          <w:color w:val="auto"/>
          <w:kern w:val="0"/>
          <w:sz w:val="28"/>
          <w:szCs w:val="28"/>
          <w:lang w:val="zh-CN" w:bidi="zh-CN"/>
        </w:rPr>
      </w:pPr>
      <w:r>
        <w:rPr>
          <w:rFonts w:hint="eastAsia" w:ascii="Times New Roman" w:hAnsi="Times New Roman" w:eastAsia="仿宋" w:cs="Times New Roman"/>
          <w:color w:val="auto"/>
          <w:kern w:val="0"/>
          <w:sz w:val="28"/>
          <w:szCs w:val="28"/>
          <w:lang w:val="zh-CN" w:bidi="zh-CN"/>
        </w:rPr>
        <w:t>（2）改进措施</w:t>
      </w:r>
    </w:p>
    <w:p w14:paraId="75EFE2B8">
      <w:pPr>
        <w:pageBreakBefore w:val="0"/>
        <w:widowControl w:val="0"/>
        <w:kinsoku/>
        <w:wordWrap/>
        <w:overflowPunct/>
        <w:topLinePunct w:val="0"/>
        <w:autoSpaceDE w:val="0"/>
        <w:autoSpaceDN w:val="0"/>
        <w:bidi w:val="0"/>
        <w:adjustRightInd/>
        <w:snapToGrid/>
        <w:spacing w:line="500" w:lineRule="exact"/>
        <w:ind w:left="0" w:right="0" w:firstLine="560" w:firstLineChars="200"/>
        <w:jc w:val="left"/>
        <w:textAlignment w:val="auto"/>
        <w:rPr>
          <w:rFonts w:hint="eastAsia" w:ascii="仿宋" w:hAnsi="仿宋" w:eastAsia="仿宋" w:cs="等线"/>
          <w:b/>
          <w:bCs/>
          <w:color w:val="auto"/>
          <w:kern w:val="0"/>
          <w:sz w:val="24"/>
          <w:szCs w:val="24"/>
          <w:lang w:val="zh-CN" w:bidi="zh-CN"/>
        </w:rPr>
      </w:pPr>
      <w:r>
        <w:rPr>
          <w:rFonts w:hint="eastAsia" w:ascii="Times New Roman" w:hAnsi="Times New Roman" w:eastAsia="仿宋" w:cs="Times New Roman"/>
          <w:color w:val="auto"/>
          <w:kern w:val="0"/>
          <w:sz w:val="28"/>
          <w:szCs w:val="28"/>
          <w:lang w:val="zh-CN" w:bidi="zh-CN"/>
        </w:rPr>
        <w:t>科研激励：设立“青年教师科研基金”、建立“科研团队绩效评价机制”。</w:t>
      </w:r>
    </w:p>
    <w:p w14:paraId="19A1F979">
      <w:pPr>
        <w:pStyle w:val="4"/>
        <w:keepNext/>
        <w:keepLines/>
        <w:pageBreakBefore w:val="0"/>
        <w:widowControl w:val="0"/>
        <w:kinsoku/>
        <w:wordWrap/>
        <w:overflowPunct/>
        <w:topLinePunct w:val="0"/>
        <w:autoSpaceDE w:val="0"/>
        <w:autoSpaceDN w:val="0"/>
        <w:bidi w:val="0"/>
        <w:adjustRightInd/>
        <w:snapToGrid/>
        <w:spacing w:before="0" w:after="0" w:line="500" w:lineRule="exact"/>
        <w:ind w:left="0" w:firstLine="562" w:firstLineChars="200"/>
        <w:jc w:val="both"/>
        <w:textAlignment w:val="auto"/>
        <w:rPr>
          <w:rFonts w:hint="eastAsia" w:ascii="仿宋" w:hAnsi="仿宋" w:eastAsia="仿宋" w:cs="仿宋"/>
          <w:b/>
          <w:bCs/>
          <w:color w:val="auto"/>
          <w:sz w:val="28"/>
          <w:szCs w:val="28"/>
          <w:lang w:val="zh-CN" w:eastAsia="zh-CN"/>
        </w:rPr>
      </w:pPr>
      <w:bookmarkStart w:id="187" w:name="_Toc21135"/>
      <w:bookmarkStart w:id="188" w:name="_Toc19803"/>
      <w:r>
        <w:rPr>
          <w:rFonts w:hint="eastAsia" w:ascii="仿宋" w:hAnsi="仿宋" w:eastAsia="仿宋" w:cs="仿宋"/>
          <w:b/>
          <w:bCs/>
          <w:color w:val="auto"/>
          <w:sz w:val="28"/>
          <w:szCs w:val="28"/>
          <w:lang w:val="zh-CN" w:eastAsia="zh-CN"/>
        </w:rPr>
        <w:t>7.</w:t>
      </w:r>
      <w:r>
        <w:rPr>
          <w:rFonts w:hint="eastAsia" w:ascii="仿宋" w:hAnsi="仿宋" w:eastAsia="仿宋" w:cs="仿宋"/>
          <w:b/>
          <w:bCs/>
          <w:color w:val="auto"/>
          <w:sz w:val="28"/>
          <w:szCs w:val="28"/>
          <w:lang w:val="en-US" w:eastAsia="zh-CN"/>
        </w:rPr>
        <w:t>4</w:t>
      </w:r>
      <w:r>
        <w:rPr>
          <w:rFonts w:hint="eastAsia" w:ascii="仿宋" w:hAnsi="仿宋" w:eastAsia="仿宋" w:cs="仿宋"/>
          <w:b/>
          <w:bCs/>
          <w:color w:val="auto"/>
          <w:sz w:val="28"/>
          <w:szCs w:val="28"/>
          <w:lang w:val="zh-CN" w:eastAsia="zh-CN"/>
        </w:rPr>
        <w:t>.3 用人单位满意度</w:t>
      </w:r>
      <w:bookmarkEnd w:id="187"/>
      <w:bookmarkEnd w:id="188"/>
    </w:p>
    <w:p w14:paraId="5302F566">
      <w:pPr>
        <w:pageBreakBefore w:val="0"/>
        <w:widowControl w:val="0"/>
        <w:kinsoku/>
        <w:wordWrap/>
        <w:overflowPunct/>
        <w:topLinePunct w:val="0"/>
        <w:autoSpaceDE w:val="0"/>
        <w:autoSpaceDN w:val="0"/>
        <w:bidi w:val="0"/>
        <w:adjustRightInd/>
        <w:snapToGrid/>
        <w:spacing w:line="500" w:lineRule="exact"/>
        <w:ind w:left="0" w:right="0" w:firstLine="560" w:firstLineChars="200"/>
        <w:jc w:val="left"/>
        <w:textAlignment w:val="auto"/>
        <w:rPr>
          <w:rFonts w:ascii="Times New Roman" w:hAnsi="Times New Roman" w:eastAsia="仿宋" w:cs="Times New Roman"/>
          <w:color w:val="auto"/>
          <w:kern w:val="0"/>
          <w:sz w:val="28"/>
          <w:szCs w:val="28"/>
          <w:lang w:val="zh-CN" w:bidi="zh-CN"/>
        </w:rPr>
      </w:pPr>
      <w:r>
        <w:rPr>
          <w:rFonts w:hint="eastAsia" w:ascii="Times New Roman" w:hAnsi="Times New Roman" w:eastAsia="仿宋" w:cs="Times New Roman"/>
          <w:color w:val="auto"/>
          <w:kern w:val="0"/>
          <w:sz w:val="28"/>
          <w:szCs w:val="28"/>
          <w:lang w:val="zh-CN" w:bidi="zh-CN"/>
        </w:rPr>
        <w:t>（1）核心数据（2024年调查）</w:t>
      </w:r>
    </w:p>
    <w:p w14:paraId="0A9E0DCB">
      <w:pPr>
        <w:pageBreakBefore w:val="0"/>
        <w:widowControl w:val="0"/>
        <w:kinsoku/>
        <w:wordWrap/>
        <w:overflowPunct/>
        <w:topLinePunct w:val="0"/>
        <w:autoSpaceDE w:val="0"/>
        <w:autoSpaceDN w:val="0"/>
        <w:bidi w:val="0"/>
        <w:adjustRightInd/>
        <w:snapToGrid/>
        <w:spacing w:line="500" w:lineRule="exact"/>
        <w:ind w:left="0" w:right="0" w:firstLine="560" w:firstLineChars="200"/>
        <w:jc w:val="left"/>
        <w:textAlignment w:val="auto"/>
        <w:rPr>
          <w:rFonts w:ascii="Times New Roman" w:hAnsi="Times New Roman" w:eastAsia="仿宋" w:cs="Times New Roman"/>
          <w:color w:val="auto"/>
          <w:kern w:val="0"/>
          <w:sz w:val="28"/>
          <w:szCs w:val="28"/>
          <w:lang w:val="zh-CN" w:bidi="zh-CN"/>
        </w:rPr>
      </w:pPr>
      <w:r>
        <w:rPr>
          <w:rFonts w:hint="eastAsia" w:ascii="Times New Roman" w:hAnsi="Times New Roman" w:eastAsia="仿宋" w:cs="Times New Roman"/>
          <w:color w:val="auto"/>
          <w:kern w:val="0"/>
          <w:sz w:val="28"/>
          <w:szCs w:val="28"/>
          <w:lang w:val="zh-CN" w:bidi="zh-CN"/>
        </w:rPr>
        <w:t>总体满意度：78.3%（较2022年提升5.8%）；分项最高：团队协作能力（85%）、体育技能（90%）。</w:t>
      </w:r>
    </w:p>
    <w:p w14:paraId="060598C7">
      <w:pPr>
        <w:pageBreakBefore w:val="0"/>
        <w:widowControl w:val="0"/>
        <w:kinsoku/>
        <w:wordWrap/>
        <w:overflowPunct/>
        <w:topLinePunct w:val="0"/>
        <w:autoSpaceDE w:val="0"/>
        <w:autoSpaceDN w:val="0"/>
        <w:bidi w:val="0"/>
        <w:adjustRightInd/>
        <w:snapToGrid/>
        <w:spacing w:line="500" w:lineRule="exact"/>
        <w:ind w:left="0" w:right="0" w:firstLine="560" w:firstLineChars="200"/>
        <w:jc w:val="left"/>
        <w:textAlignment w:val="auto"/>
        <w:rPr>
          <w:rFonts w:ascii="Times New Roman" w:hAnsi="Times New Roman" w:eastAsia="仿宋" w:cs="Times New Roman"/>
          <w:color w:val="auto"/>
          <w:kern w:val="0"/>
          <w:sz w:val="28"/>
          <w:szCs w:val="28"/>
          <w:lang w:val="zh-CN" w:bidi="zh-CN"/>
        </w:rPr>
      </w:pPr>
      <w:r>
        <w:rPr>
          <w:rFonts w:ascii="Times New Roman" w:hAnsi="Times New Roman" w:eastAsia="仿宋" w:cs="Times New Roman"/>
          <w:color w:val="auto"/>
          <w:kern w:val="0"/>
          <w:sz w:val="28"/>
          <w:szCs w:val="28"/>
          <w:lang w:val="zh-CN" w:bidi="zh-CN"/>
        </w:rPr>
        <w:t>（</w:t>
      </w:r>
      <w:r>
        <w:rPr>
          <w:rFonts w:hint="eastAsia" w:ascii="Times New Roman" w:hAnsi="Times New Roman" w:eastAsia="仿宋" w:cs="Times New Roman"/>
          <w:color w:val="auto"/>
          <w:kern w:val="0"/>
          <w:sz w:val="28"/>
          <w:szCs w:val="28"/>
          <w:lang w:val="zh-CN" w:bidi="zh-CN"/>
        </w:rPr>
        <w:t>2</w:t>
      </w:r>
      <w:r>
        <w:rPr>
          <w:rFonts w:ascii="Times New Roman" w:hAnsi="Times New Roman" w:eastAsia="仿宋" w:cs="Times New Roman"/>
          <w:color w:val="auto"/>
          <w:kern w:val="0"/>
          <w:sz w:val="28"/>
          <w:szCs w:val="28"/>
          <w:lang w:val="zh-CN" w:bidi="zh-CN"/>
        </w:rPr>
        <w:t>）</w:t>
      </w:r>
      <w:r>
        <w:rPr>
          <w:rFonts w:hint="eastAsia" w:ascii="Times New Roman" w:hAnsi="Times New Roman" w:eastAsia="仿宋" w:cs="Times New Roman"/>
          <w:color w:val="auto"/>
          <w:kern w:val="0"/>
          <w:sz w:val="28"/>
          <w:szCs w:val="28"/>
          <w:lang w:val="zh-CN" w:bidi="zh-CN"/>
        </w:rPr>
        <w:t>改进措施</w:t>
      </w:r>
    </w:p>
    <w:p w14:paraId="0AE93EB6">
      <w:pPr>
        <w:pageBreakBefore w:val="0"/>
        <w:widowControl w:val="0"/>
        <w:kinsoku/>
        <w:wordWrap/>
        <w:overflowPunct/>
        <w:topLinePunct w:val="0"/>
        <w:autoSpaceDE w:val="0"/>
        <w:autoSpaceDN w:val="0"/>
        <w:bidi w:val="0"/>
        <w:adjustRightInd/>
        <w:snapToGrid/>
        <w:spacing w:line="500" w:lineRule="exact"/>
        <w:ind w:left="0" w:right="0" w:firstLine="560" w:firstLineChars="200"/>
        <w:jc w:val="left"/>
        <w:textAlignment w:val="auto"/>
        <w:rPr>
          <w:rFonts w:ascii="Times New Roman" w:hAnsi="Times New Roman" w:eastAsia="仿宋" w:cs="Times New Roman"/>
          <w:color w:val="auto"/>
          <w:kern w:val="0"/>
          <w:sz w:val="28"/>
          <w:szCs w:val="28"/>
          <w:lang w:val="zh-CN" w:bidi="zh-CN"/>
        </w:rPr>
      </w:pPr>
      <w:r>
        <w:rPr>
          <w:rFonts w:ascii="仿宋" w:hAnsi="仿宋" w:eastAsia="仿宋" w:cs="宋体"/>
          <w:color w:val="auto"/>
          <w:kern w:val="0"/>
          <w:sz w:val="28"/>
          <w:szCs w:val="28"/>
          <w:lang w:val="zh-CN" w:bidi="zh-CN"/>
        </w:rPr>
        <w:t>用人单位对体育部公共体育教育的满意度呈上升趋势，但仍有提升空间，特别是在提高实践活动的质量和效果方面。</w:t>
      </w:r>
    </w:p>
    <w:p w14:paraId="31BB285E">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leftChars="0" w:right="1009" w:firstLine="0" w:firstLineChars="0"/>
        <w:jc w:val="both"/>
        <w:textAlignment w:val="auto"/>
        <w:rPr>
          <w:rFonts w:hint="eastAsia" w:ascii="黑体" w:hAnsi="黑体" w:eastAsia="黑体" w:cs="黑体"/>
          <w:b/>
          <w:bCs/>
          <w:color w:val="auto"/>
          <w:sz w:val="32"/>
          <w:szCs w:val="32"/>
          <w:lang w:val="zh-CN" w:eastAsia="zh-CN"/>
        </w:rPr>
      </w:pPr>
      <w:bookmarkStart w:id="189" w:name="_Toc2341"/>
      <w:r>
        <w:rPr>
          <w:rFonts w:hint="eastAsia" w:ascii="黑体" w:hAnsi="黑体" w:eastAsia="黑体" w:cs="黑体"/>
          <w:b/>
          <w:bCs/>
          <w:color w:val="auto"/>
          <w:sz w:val="32"/>
          <w:szCs w:val="32"/>
          <w:lang w:val="zh-CN" w:eastAsia="zh-CN"/>
        </w:rPr>
        <w:t>7.</w:t>
      </w:r>
      <w:r>
        <w:rPr>
          <w:rFonts w:hint="eastAsia" w:ascii="黑体" w:hAnsi="黑体" w:cs="黑体"/>
          <w:b/>
          <w:bCs/>
          <w:color w:val="auto"/>
          <w:sz w:val="32"/>
          <w:szCs w:val="32"/>
          <w:lang w:val="en-US" w:eastAsia="zh-CN"/>
        </w:rPr>
        <w:t>5</w:t>
      </w:r>
      <w:r>
        <w:rPr>
          <w:rFonts w:hint="eastAsia" w:ascii="黑体" w:hAnsi="黑体" w:eastAsia="黑体" w:cs="黑体"/>
          <w:b/>
          <w:bCs/>
          <w:color w:val="auto"/>
          <w:sz w:val="32"/>
          <w:szCs w:val="32"/>
          <w:lang w:val="zh-CN" w:eastAsia="zh-CN"/>
        </w:rPr>
        <w:t xml:space="preserve"> 存在的问题、原因分析及下一步整改举措</w:t>
      </w:r>
      <w:bookmarkEnd w:id="189"/>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487"/>
        <w:gridCol w:w="3168"/>
        <w:gridCol w:w="2262"/>
        <w:gridCol w:w="3033"/>
      </w:tblGrid>
      <w:tr w14:paraId="33DFF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0" w:type="auto"/>
            <w:vAlign w:val="center"/>
          </w:tcPr>
          <w:p w14:paraId="168542D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Times New Roman"/>
                <w:b/>
                <w:bCs/>
                <w:color w:val="auto"/>
                <w:kern w:val="0"/>
                <w:sz w:val="24"/>
                <w:szCs w:val="24"/>
                <w:lang w:val="zh-CN" w:bidi="zh-CN"/>
              </w:rPr>
            </w:pPr>
            <w:r>
              <w:rPr>
                <w:rFonts w:hint="eastAsia" w:ascii="仿宋" w:hAnsi="仿宋" w:eastAsia="仿宋" w:cs="Times New Roman"/>
                <w:b/>
                <w:bCs/>
                <w:color w:val="auto"/>
                <w:kern w:val="0"/>
                <w:sz w:val="24"/>
                <w:szCs w:val="24"/>
                <w:lang w:val="zh-CN" w:bidi="zh-CN"/>
              </w:rPr>
              <w:t>维度</w:t>
            </w:r>
          </w:p>
        </w:tc>
        <w:tc>
          <w:tcPr>
            <w:tcW w:w="0" w:type="auto"/>
            <w:vAlign w:val="center"/>
          </w:tcPr>
          <w:p w14:paraId="765B6C0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Times New Roman"/>
                <w:b/>
                <w:bCs/>
                <w:color w:val="auto"/>
                <w:kern w:val="0"/>
                <w:sz w:val="24"/>
                <w:szCs w:val="24"/>
                <w:lang w:val="zh-CN" w:bidi="zh-CN"/>
              </w:rPr>
            </w:pPr>
            <w:r>
              <w:rPr>
                <w:rFonts w:hint="eastAsia" w:ascii="仿宋" w:hAnsi="仿宋" w:eastAsia="仿宋" w:cs="Times New Roman"/>
                <w:b/>
                <w:bCs/>
                <w:color w:val="auto"/>
                <w:kern w:val="0"/>
                <w:sz w:val="24"/>
                <w:szCs w:val="24"/>
                <w:lang w:val="zh-CN" w:bidi="zh-CN"/>
              </w:rPr>
              <w:t>问题描述</w:t>
            </w:r>
          </w:p>
        </w:tc>
        <w:tc>
          <w:tcPr>
            <w:tcW w:w="2262" w:type="dxa"/>
            <w:vAlign w:val="center"/>
          </w:tcPr>
          <w:p w14:paraId="0A6402E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Times New Roman"/>
                <w:b/>
                <w:bCs/>
                <w:color w:val="auto"/>
                <w:kern w:val="0"/>
                <w:sz w:val="24"/>
                <w:szCs w:val="24"/>
                <w:lang w:val="zh-CN" w:bidi="zh-CN"/>
              </w:rPr>
            </w:pPr>
            <w:r>
              <w:rPr>
                <w:rFonts w:hint="eastAsia" w:ascii="仿宋" w:hAnsi="仿宋" w:eastAsia="仿宋" w:cs="Times New Roman"/>
                <w:b/>
                <w:bCs/>
                <w:color w:val="auto"/>
                <w:kern w:val="0"/>
                <w:sz w:val="24"/>
                <w:szCs w:val="24"/>
                <w:lang w:val="zh-CN" w:bidi="zh-CN"/>
              </w:rPr>
              <w:t>原因分析</w:t>
            </w:r>
          </w:p>
        </w:tc>
        <w:tc>
          <w:tcPr>
            <w:tcW w:w="3033" w:type="dxa"/>
            <w:vAlign w:val="center"/>
          </w:tcPr>
          <w:p w14:paraId="48DF08A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Times New Roman"/>
                <w:b/>
                <w:bCs/>
                <w:color w:val="auto"/>
                <w:kern w:val="0"/>
                <w:sz w:val="24"/>
                <w:szCs w:val="24"/>
                <w:lang w:val="zh-CN" w:bidi="zh-CN"/>
              </w:rPr>
            </w:pPr>
            <w:r>
              <w:rPr>
                <w:rFonts w:hint="eastAsia" w:ascii="仿宋" w:hAnsi="仿宋" w:eastAsia="仿宋" w:cs="Times New Roman"/>
                <w:b/>
                <w:bCs/>
                <w:color w:val="auto"/>
                <w:kern w:val="0"/>
                <w:sz w:val="24"/>
                <w:szCs w:val="24"/>
                <w:lang w:val="zh-CN" w:bidi="zh-CN"/>
              </w:rPr>
              <w:t>整改措施</w:t>
            </w:r>
          </w:p>
        </w:tc>
      </w:tr>
      <w:tr w14:paraId="70AFD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0" w:type="auto"/>
            <w:vAlign w:val="center"/>
          </w:tcPr>
          <w:p w14:paraId="64C0D18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Times New Roman"/>
                <w:color w:val="auto"/>
                <w:kern w:val="0"/>
                <w:sz w:val="24"/>
                <w:szCs w:val="24"/>
                <w:lang w:val="zh-CN" w:bidi="zh-CN"/>
              </w:rPr>
            </w:pPr>
            <w:r>
              <w:rPr>
                <w:rFonts w:hint="eastAsia" w:ascii="仿宋" w:hAnsi="仿宋" w:eastAsia="仿宋" w:cs="Times New Roman"/>
                <w:color w:val="auto"/>
                <w:kern w:val="0"/>
                <w:sz w:val="24"/>
                <w:szCs w:val="24"/>
                <w:lang w:val="zh-CN" w:bidi="zh-CN"/>
              </w:rPr>
              <w:t>达成度</w:t>
            </w:r>
          </w:p>
        </w:tc>
        <w:tc>
          <w:tcPr>
            <w:tcW w:w="0" w:type="auto"/>
          </w:tcPr>
          <w:p w14:paraId="59AAAE6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仿宋" w:hAnsi="仿宋" w:eastAsia="仿宋" w:cs="Times New Roman"/>
                <w:color w:val="auto"/>
                <w:kern w:val="0"/>
                <w:sz w:val="24"/>
                <w:szCs w:val="24"/>
                <w:lang w:val="zh-CN" w:bidi="zh-CN"/>
              </w:rPr>
            </w:pPr>
            <w:r>
              <w:rPr>
                <w:rFonts w:ascii="仿宋" w:hAnsi="仿宋" w:eastAsia="仿宋" w:cs="Times New Roman"/>
                <w:color w:val="auto"/>
                <w:kern w:val="0"/>
                <w:sz w:val="24"/>
                <w:szCs w:val="24"/>
                <w:lang w:val="zh-CN" w:bidi="zh-CN"/>
              </w:rPr>
              <w:t>1. 体育精神内化不足（师范类课外活动参与率78.4%，等级“合格”）。</w:t>
            </w:r>
            <w:r>
              <w:rPr>
                <w:rFonts w:ascii="仿宋" w:hAnsi="仿宋" w:eastAsia="仿宋" w:cs="Times New Roman"/>
                <w:color w:val="auto"/>
                <w:kern w:val="0"/>
                <w:sz w:val="24"/>
                <w:szCs w:val="24"/>
                <w:lang w:val="zh-CN" w:bidi="zh-CN"/>
              </w:rPr>
              <w:br w:type="textWrapping"/>
            </w:r>
            <w:r>
              <w:rPr>
                <w:rFonts w:ascii="仿宋" w:hAnsi="仿宋" w:eastAsia="仿宋" w:cs="Times New Roman"/>
                <w:color w:val="auto"/>
                <w:kern w:val="0"/>
                <w:sz w:val="24"/>
                <w:szCs w:val="24"/>
                <w:lang w:val="zh-CN" w:bidi="zh-CN"/>
              </w:rPr>
              <w:t>2. 运动技能期末考核通过率偏低（文科88.3%、理科85.7%）。</w:t>
            </w:r>
          </w:p>
        </w:tc>
        <w:tc>
          <w:tcPr>
            <w:tcW w:w="2262" w:type="dxa"/>
          </w:tcPr>
          <w:p w14:paraId="168310C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仿宋" w:hAnsi="仿宋" w:eastAsia="仿宋" w:cs="Times New Roman"/>
                <w:color w:val="auto"/>
                <w:kern w:val="0"/>
                <w:sz w:val="24"/>
                <w:szCs w:val="24"/>
                <w:lang w:val="zh-CN" w:bidi="zh-CN"/>
              </w:rPr>
            </w:pPr>
            <w:r>
              <w:rPr>
                <w:rFonts w:ascii="仿宋" w:hAnsi="仿宋" w:eastAsia="仿宋" w:cs="Times New Roman"/>
                <w:color w:val="auto"/>
                <w:kern w:val="0"/>
                <w:sz w:val="24"/>
                <w:szCs w:val="24"/>
                <w:lang w:val="zh-CN" w:bidi="zh-CN"/>
              </w:rPr>
              <w:t>1. 课外活动缺乏吸引力与激励机制。</w:t>
            </w:r>
            <w:r>
              <w:rPr>
                <w:rFonts w:ascii="仿宋" w:hAnsi="仿宋" w:eastAsia="仿宋" w:cs="Times New Roman"/>
                <w:color w:val="auto"/>
                <w:kern w:val="0"/>
                <w:sz w:val="24"/>
                <w:szCs w:val="24"/>
                <w:lang w:val="zh-CN" w:bidi="zh-CN"/>
              </w:rPr>
              <w:br w:type="textWrapping"/>
            </w:r>
            <w:r>
              <w:rPr>
                <w:rFonts w:ascii="仿宋" w:hAnsi="仿宋" w:eastAsia="仿宋" w:cs="Times New Roman"/>
                <w:color w:val="auto"/>
                <w:kern w:val="0"/>
                <w:sz w:val="24"/>
                <w:szCs w:val="24"/>
                <w:lang w:val="zh-CN" w:bidi="zh-CN"/>
              </w:rPr>
              <w:t>2. 技能教学偏重基础，实战应用不足。</w:t>
            </w:r>
          </w:p>
        </w:tc>
        <w:tc>
          <w:tcPr>
            <w:tcW w:w="3033" w:type="dxa"/>
          </w:tcPr>
          <w:p w14:paraId="05FD88C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仿宋" w:hAnsi="仿宋" w:eastAsia="仿宋" w:cs="Times New Roman"/>
                <w:color w:val="auto"/>
                <w:kern w:val="0"/>
                <w:sz w:val="24"/>
                <w:szCs w:val="24"/>
                <w:lang w:val="zh-CN" w:bidi="zh-CN"/>
              </w:rPr>
            </w:pPr>
            <w:r>
              <w:rPr>
                <w:rFonts w:ascii="仿宋" w:hAnsi="仿宋" w:eastAsia="仿宋" w:cs="Times New Roman"/>
                <w:color w:val="auto"/>
                <w:kern w:val="0"/>
                <w:sz w:val="24"/>
                <w:szCs w:val="24"/>
                <w:lang w:val="zh-CN" w:bidi="zh-CN"/>
              </w:rPr>
              <w:t>1. 开展“体育文化月”活动，建立运动积分激励制度。</w:t>
            </w:r>
            <w:r>
              <w:rPr>
                <w:rFonts w:ascii="仿宋" w:hAnsi="仿宋" w:eastAsia="仿宋" w:cs="Times New Roman"/>
                <w:color w:val="auto"/>
                <w:kern w:val="0"/>
                <w:sz w:val="24"/>
                <w:szCs w:val="24"/>
                <w:lang w:val="zh-CN" w:bidi="zh-CN"/>
              </w:rPr>
              <w:br w:type="textWrapping"/>
            </w:r>
            <w:r>
              <w:rPr>
                <w:rFonts w:ascii="仿宋" w:hAnsi="仿宋" w:eastAsia="仿宋" w:cs="Times New Roman"/>
                <w:color w:val="auto"/>
                <w:kern w:val="0"/>
                <w:sz w:val="24"/>
                <w:szCs w:val="24"/>
                <w:lang w:val="zh-CN" w:bidi="zh-CN"/>
              </w:rPr>
              <w:t>2. 增加实战模拟环节（如球类、啦啦操课程）。</w:t>
            </w:r>
          </w:p>
        </w:tc>
      </w:tr>
      <w:tr w14:paraId="020A7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0" w:type="auto"/>
            <w:vAlign w:val="center"/>
          </w:tcPr>
          <w:p w14:paraId="42575E4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Times New Roman"/>
                <w:color w:val="auto"/>
                <w:kern w:val="0"/>
                <w:sz w:val="24"/>
                <w:szCs w:val="24"/>
                <w:lang w:val="zh-CN" w:bidi="zh-CN"/>
              </w:rPr>
            </w:pPr>
            <w:r>
              <w:rPr>
                <w:rFonts w:hint="eastAsia" w:ascii="仿宋" w:hAnsi="仿宋" w:eastAsia="仿宋" w:cs="Times New Roman"/>
                <w:color w:val="auto"/>
                <w:kern w:val="0"/>
                <w:sz w:val="24"/>
                <w:szCs w:val="24"/>
                <w:lang w:val="zh-CN" w:bidi="zh-CN"/>
              </w:rPr>
              <w:t>保障度</w:t>
            </w:r>
          </w:p>
        </w:tc>
        <w:tc>
          <w:tcPr>
            <w:tcW w:w="0" w:type="auto"/>
          </w:tcPr>
          <w:p w14:paraId="66DC425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仿宋" w:hAnsi="仿宋" w:eastAsia="仿宋" w:cs="Times New Roman"/>
                <w:color w:val="auto"/>
                <w:kern w:val="0"/>
                <w:sz w:val="24"/>
                <w:szCs w:val="24"/>
                <w:lang w:val="zh-CN" w:bidi="zh-CN"/>
              </w:rPr>
            </w:pPr>
            <w:r>
              <w:rPr>
                <w:rFonts w:ascii="仿宋" w:hAnsi="仿宋" w:eastAsia="仿宋" w:cs="Times New Roman"/>
                <w:color w:val="auto"/>
                <w:kern w:val="0"/>
                <w:sz w:val="24"/>
                <w:szCs w:val="24"/>
                <w:lang w:val="zh-CN" w:bidi="zh-CN"/>
              </w:rPr>
              <w:t>1. 新兴项目（如电竞体能训练）设备支持不足。</w:t>
            </w:r>
            <w:r>
              <w:rPr>
                <w:rFonts w:ascii="仿宋" w:hAnsi="仿宋" w:eastAsia="仿宋" w:cs="Times New Roman"/>
                <w:color w:val="auto"/>
                <w:kern w:val="0"/>
                <w:sz w:val="24"/>
                <w:szCs w:val="24"/>
                <w:lang w:val="zh-CN" w:bidi="zh-CN"/>
              </w:rPr>
              <w:br w:type="textWrapping"/>
            </w:r>
            <w:r>
              <w:rPr>
                <w:rFonts w:ascii="仿宋" w:hAnsi="仿宋" w:eastAsia="仿宋" w:cs="Times New Roman"/>
                <w:color w:val="auto"/>
                <w:kern w:val="0"/>
                <w:sz w:val="24"/>
                <w:szCs w:val="24"/>
                <w:lang w:val="zh-CN" w:bidi="zh-CN"/>
              </w:rPr>
              <w:t>2. 师范类实践课时占比（35%）需提升。</w:t>
            </w:r>
          </w:p>
        </w:tc>
        <w:tc>
          <w:tcPr>
            <w:tcW w:w="2262" w:type="dxa"/>
          </w:tcPr>
          <w:p w14:paraId="08F3ABF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仿宋" w:hAnsi="仿宋" w:eastAsia="仿宋" w:cs="Times New Roman"/>
                <w:color w:val="auto"/>
                <w:kern w:val="0"/>
                <w:sz w:val="24"/>
                <w:szCs w:val="24"/>
                <w:lang w:val="zh-CN" w:bidi="zh-CN"/>
              </w:rPr>
            </w:pPr>
            <w:r>
              <w:rPr>
                <w:rFonts w:ascii="仿宋" w:hAnsi="仿宋" w:eastAsia="仿宋" w:cs="Times New Roman"/>
                <w:color w:val="auto"/>
                <w:kern w:val="0"/>
                <w:sz w:val="24"/>
                <w:szCs w:val="24"/>
                <w:lang w:val="zh-CN" w:bidi="zh-CN"/>
              </w:rPr>
              <w:t>1. 设备更新偏向传统项目，新兴领域投入滞后。</w:t>
            </w:r>
            <w:r>
              <w:rPr>
                <w:rFonts w:ascii="仿宋" w:hAnsi="仿宋" w:eastAsia="仿宋" w:cs="Times New Roman"/>
                <w:color w:val="auto"/>
                <w:kern w:val="0"/>
                <w:sz w:val="24"/>
                <w:szCs w:val="24"/>
                <w:lang w:val="zh-CN" w:bidi="zh-CN"/>
              </w:rPr>
              <w:br w:type="textWrapping"/>
            </w:r>
            <w:r>
              <w:rPr>
                <w:rFonts w:ascii="仿宋" w:hAnsi="仿宋" w:eastAsia="仿宋" w:cs="Times New Roman"/>
                <w:color w:val="auto"/>
                <w:kern w:val="0"/>
                <w:sz w:val="24"/>
                <w:szCs w:val="24"/>
                <w:lang w:val="zh-CN" w:bidi="zh-CN"/>
              </w:rPr>
              <w:t>2. 实践课程与企业需求衔接不紧密。</w:t>
            </w:r>
          </w:p>
        </w:tc>
        <w:tc>
          <w:tcPr>
            <w:tcW w:w="3033" w:type="dxa"/>
          </w:tcPr>
          <w:p w14:paraId="629F3C8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仿宋" w:hAnsi="仿宋" w:eastAsia="仿宋" w:cs="Times New Roman"/>
                <w:color w:val="auto"/>
                <w:kern w:val="0"/>
                <w:sz w:val="24"/>
                <w:szCs w:val="24"/>
                <w:lang w:val="zh-CN" w:bidi="zh-CN"/>
              </w:rPr>
            </w:pPr>
            <w:r>
              <w:rPr>
                <w:rFonts w:ascii="仿宋" w:hAnsi="仿宋" w:eastAsia="仿宋" w:cs="Times New Roman"/>
                <w:color w:val="auto"/>
                <w:kern w:val="0"/>
                <w:sz w:val="24"/>
                <w:szCs w:val="24"/>
                <w:lang w:val="zh-CN" w:bidi="zh-CN"/>
              </w:rPr>
              <w:t>1. 每年30%设备预算倾斜新兴项目。</w:t>
            </w:r>
            <w:r>
              <w:rPr>
                <w:rFonts w:ascii="仿宋" w:hAnsi="仿宋" w:eastAsia="仿宋" w:cs="Times New Roman"/>
                <w:color w:val="auto"/>
                <w:kern w:val="0"/>
                <w:sz w:val="24"/>
                <w:szCs w:val="24"/>
                <w:lang w:val="zh-CN" w:bidi="zh-CN"/>
              </w:rPr>
              <w:br w:type="textWrapping"/>
            </w:r>
            <w:r>
              <w:rPr>
                <w:rFonts w:ascii="仿宋" w:hAnsi="仿宋" w:eastAsia="仿宋" w:cs="Times New Roman"/>
                <w:color w:val="auto"/>
                <w:kern w:val="0"/>
                <w:sz w:val="24"/>
                <w:szCs w:val="24"/>
                <w:lang w:val="zh-CN" w:bidi="zh-CN"/>
              </w:rPr>
              <w:t>2. 与10家体育机构共建实践基地，增设“教学模拟实训周”。</w:t>
            </w:r>
          </w:p>
        </w:tc>
      </w:tr>
      <w:tr w14:paraId="00C30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0" w:type="auto"/>
            <w:vAlign w:val="center"/>
          </w:tcPr>
          <w:p w14:paraId="60C7C2E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Times New Roman"/>
                <w:color w:val="auto"/>
                <w:kern w:val="0"/>
                <w:sz w:val="24"/>
                <w:szCs w:val="24"/>
                <w:lang w:val="zh-CN" w:bidi="zh-CN"/>
              </w:rPr>
            </w:pPr>
            <w:r>
              <w:rPr>
                <w:rFonts w:hint="eastAsia" w:ascii="仿宋" w:hAnsi="仿宋" w:eastAsia="仿宋" w:cs="Times New Roman"/>
                <w:color w:val="auto"/>
                <w:kern w:val="0"/>
                <w:sz w:val="24"/>
                <w:szCs w:val="24"/>
                <w:lang w:val="zh-CN" w:bidi="zh-CN"/>
              </w:rPr>
              <w:t>有效度</w:t>
            </w:r>
          </w:p>
        </w:tc>
        <w:tc>
          <w:tcPr>
            <w:tcW w:w="0" w:type="auto"/>
          </w:tcPr>
          <w:p w14:paraId="3FDA1A9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仿宋" w:hAnsi="仿宋" w:eastAsia="仿宋" w:cs="Times New Roman"/>
                <w:color w:val="auto"/>
                <w:kern w:val="0"/>
                <w:sz w:val="24"/>
                <w:szCs w:val="24"/>
                <w:lang w:val="zh-CN" w:bidi="zh-CN"/>
              </w:rPr>
            </w:pPr>
            <w:r>
              <w:rPr>
                <w:rFonts w:ascii="仿宋" w:hAnsi="仿宋" w:eastAsia="仿宋" w:cs="Times New Roman"/>
                <w:color w:val="auto"/>
                <w:kern w:val="0"/>
                <w:sz w:val="24"/>
                <w:szCs w:val="24"/>
                <w:lang w:val="zh-CN" w:bidi="zh-CN"/>
              </w:rPr>
              <w:t>1. 质量整改落实效率低（台账完成率未达100%）。</w:t>
            </w:r>
            <w:r>
              <w:rPr>
                <w:rFonts w:ascii="仿宋" w:hAnsi="仿宋" w:eastAsia="仿宋" w:cs="Times New Roman"/>
                <w:color w:val="auto"/>
                <w:kern w:val="0"/>
                <w:sz w:val="24"/>
                <w:szCs w:val="24"/>
                <w:lang w:val="zh-CN" w:bidi="zh-CN"/>
              </w:rPr>
              <w:br w:type="textWrapping"/>
            </w:r>
            <w:r>
              <w:rPr>
                <w:rFonts w:ascii="仿宋" w:hAnsi="仿宋" w:eastAsia="仿宋" w:cs="Times New Roman"/>
                <w:color w:val="auto"/>
                <w:kern w:val="0"/>
                <w:sz w:val="24"/>
                <w:szCs w:val="24"/>
                <w:lang w:val="zh-CN" w:bidi="zh-CN"/>
              </w:rPr>
              <w:t>2. 跨学科课程开发不足（2024年仅4门）。</w:t>
            </w:r>
          </w:p>
        </w:tc>
        <w:tc>
          <w:tcPr>
            <w:tcW w:w="2262" w:type="dxa"/>
          </w:tcPr>
          <w:p w14:paraId="19A60F5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仿宋" w:hAnsi="仿宋" w:eastAsia="仿宋" w:cs="Times New Roman"/>
                <w:color w:val="auto"/>
                <w:kern w:val="0"/>
                <w:sz w:val="24"/>
                <w:szCs w:val="24"/>
                <w:lang w:val="zh-CN" w:bidi="zh-CN"/>
              </w:rPr>
            </w:pPr>
            <w:r>
              <w:rPr>
                <w:rFonts w:ascii="仿宋" w:hAnsi="仿宋" w:eastAsia="仿宋" w:cs="Times New Roman"/>
                <w:color w:val="auto"/>
                <w:kern w:val="0"/>
                <w:sz w:val="24"/>
                <w:szCs w:val="24"/>
                <w:lang w:val="zh-CN" w:bidi="zh-CN"/>
              </w:rPr>
              <w:t>1. 责任分工不明确，缺乏动态跟踪。</w:t>
            </w:r>
            <w:r>
              <w:rPr>
                <w:rFonts w:ascii="仿宋" w:hAnsi="仿宋" w:eastAsia="仿宋" w:cs="Times New Roman"/>
                <w:color w:val="auto"/>
                <w:kern w:val="0"/>
                <w:sz w:val="24"/>
                <w:szCs w:val="24"/>
                <w:lang w:val="zh-CN" w:bidi="zh-CN"/>
              </w:rPr>
              <w:br w:type="textWrapping"/>
            </w:r>
            <w:r>
              <w:rPr>
                <w:rFonts w:ascii="仿宋" w:hAnsi="仿宋" w:eastAsia="仿宋" w:cs="Times New Roman"/>
                <w:color w:val="auto"/>
                <w:kern w:val="0"/>
                <w:sz w:val="24"/>
                <w:szCs w:val="24"/>
                <w:lang w:val="zh-CN" w:bidi="zh-CN"/>
              </w:rPr>
              <w:t>2. 师资协同不足，资源整合困难。</w:t>
            </w:r>
          </w:p>
        </w:tc>
        <w:tc>
          <w:tcPr>
            <w:tcW w:w="3033" w:type="dxa"/>
          </w:tcPr>
          <w:p w14:paraId="6ECAA37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仿宋" w:hAnsi="仿宋" w:eastAsia="仿宋" w:cs="Times New Roman"/>
                <w:color w:val="auto"/>
                <w:kern w:val="0"/>
                <w:sz w:val="24"/>
                <w:szCs w:val="24"/>
                <w:lang w:val="zh-CN" w:bidi="zh-CN"/>
              </w:rPr>
            </w:pPr>
            <w:r>
              <w:rPr>
                <w:rFonts w:ascii="仿宋" w:hAnsi="仿宋" w:eastAsia="仿宋" w:cs="Times New Roman"/>
                <w:color w:val="auto"/>
                <w:kern w:val="0"/>
                <w:sz w:val="24"/>
                <w:szCs w:val="24"/>
                <w:lang w:val="zh-CN" w:bidi="zh-CN"/>
              </w:rPr>
              <w:t>1. 实施“问题闭环管理”，纳入绩效考核。</w:t>
            </w:r>
            <w:r>
              <w:rPr>
                <w:rFonts w:ascii="仿宋" w:hAnsi="仿宋" w:eastAsia="仿宋" w:cs="Times New Roman"/>
                <w:color w:val="auto"/>
                <w:kern w:val="0"/>
                <w:sz w:val="24"/>
                <w:szCs w:val="24"/>
                <w:lang w:val="zh-CN" w:bidi="zh-CN"/>
              </w:rPr>
              <w:br w:type="textWrapping"/>
            </w:r>
            <w:r>
              <w:rPr>
                <w:rFonts w:ascii="仿宋" w:hAnsi="仿宋" w:eastAsia="仿宋" w:cs="Times New Roman"/>
                <w:color w:val="auto"/>
                <w:kern w:val="0"/>
                <w:sz w:val="24"/>
                <w:szCs w:val="24"/>
                <w:lang w:val="zh-CN" w:bidi="zh-CN"/>
              </w:rPr>
              <w:t>2. 联合其他院系开设跨学科课程（如“运动康复与医学”“体育科技应用”）。</w:t>
            </w:r>
          </w:p>
        </w:tc>
      </w:tr>
      <w:tr w14:paraId="2B358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0" w:type="auto"/>
            <w:vAlign w:val="center"/>
          </w:tcPr>
          <w:p w14:paraId="718A412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Times New Roman"/>
                <w:color w:val="auto"/>
                <w:kern w:val="0"/>
                <w:sz w:val="24"/>
                <w:szCs w:val="24"/>
                <w:lang w:val="zh-CN" w:bidi="zh-CN"/>
              </w:rPr>
            </w:pPr>
            <w:r>
              <w:rPr>
                <w:rFonts w:hint="eastAsia" w:ascii="仿宋" w:hAnsi="仿宋" w:eastAsia="仿宋" w:cs="Times New Roman"/>
                <w:color w:val="auto"/>
                <w:kern w:val="0"/>
                <w:sz w:val="24"/>
                <w:szCs w:val="24"/>
                <w:lang w:val="zh-CN" w:bidi="zh-CN"/>
              </w:rPr>
              <w:t>满意度</w:t>
            </w:r>
          </w:p>
        </w:tc>
        <w:tc>
          <w:tcPr>
            <w:tcW w:w="0" w:type="auto"/>
          </w:tcPr>
          <w:p w14:paraId="721375E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仿宋" w:hAnsi="仿宋" w:eastAsia="仿宋" w:cs="Times New Roman"/>
                <w:color w:val="auto"/>
                <w:kern w:val="0"/>
                <w:sz w:val="24"/>
                <w:szCs w:val="24"/>
                <w:lang w:val="zh-CN" w:bidi="zh-CN"/>
              </w:rPr>
            </w:pPr>
            <w:r>
              <w:rPr>
                <w:rFonts w:ascii="仿宋" w:hAnsi="仿宋" w:eastAsia="仿宋" w:cs="Times New Roman"/>
                <w:color w:val="auto"/>
                <w:kern w:val="0"/>
                <w:sz w:val="24"/>
                <w:szCs w:val="24"/>
                <w:lang w:val="zh-CN" w:bidi="zh-CN"/>
              </w:rPr>
              <w:t>1. 职业规划服务满意度低（75%）。</w:t>
            </w:r>
            <w:r>
              <w:rPr>
                <w:rFonts w:ascii="仿宋" w:hAnsi="仿宋" w:eastAsia="仿宋" w:cs="Times New Roman"/>
                <w:color w:val="auto"/>
                <w:kern w:val="0"/>
                <w:sz w:val="24"/>
                <w:szCs w:val="24"/>
                <w:lang w:val="zh-CN" w:bidi="zh-CN"/>
              </w:rPr>
              <w:br w:type="textWrapping"/>
            </w:r>
            <w:r>
              <w:rPr>
                <w:rFonts w:ascii="仿宋" w:hAnsi="仿宋" w:eastAsia="仿宋" w:cs="Times New Roman"/>
                <w:color w:val="auto"/>
                <w:kern w:val="0"/>
                <w:sz w:val="24"/>
                <w:szCs w:val="24"/>
                <w:lang w:val="zh-CN" w:bidi="zh-CN"/>
              </w:rPr>
              <w:t>2. 教师科研支持不足（65%教师建议增加经费）。</w:t>
            </w:r>
          </w:p>
        </w:tc>
        <w:tc>
          <w:tcPr>
            <w:tcW w:w="2262" w:type="dxa"/>
          </w:tcPr>
          <w:p w14:paraId="133D55C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仿宋" w:hAnsi="仿宋" w:eastAsia="仿宋" w:cs="Times New Roman"/>
                <w:color w:val="auto"/>
                <w:kern w:val="0"/>
                <w:sz w:val="24"/>
                <w:szCs w:val="24"/>
                <w:lang w:val="zh-CN" w:bidi="zh-CN"/>
              </w:rPr>
            </w:pPr>
            <w:r>
              <w:rPr>
                <w:rFonts w:ascii="仿宋" w:hAnsi="仿宋" w:eastAsia="仿宋" w:cs="Times New Roman"/>
                <w:color w:val="auto"/>
                <w:kern w:val="0"/>
                <w:sz w:val="24"/>
                <w:szCs w:val="24"/>
                <w:lang w:val="zh-CN" w:bidi="zh-CN"/>
              </w:rPr>
              <w:t>1. 职业指导形式单一，缺乏行业对接。</w:t>
            </w:r>
            <w:r>
              <w:rPr>
                <w:rFonts w:ascii="仿宋" w:hAnsi="仿宋" w:eastAsia="仿宋" w:cs="Times New Roman"/>
                <w:color w:val="auto"/>
                <w:kern w:val="0"/>
                <w:sz w:val="24"/>
                <w:szCs w:val="24"/>
                <w:lang w:val="zh-CN" w:bidi="zh-CN"/>
              </w:rPr>
              <w:br w:type="textWrapping"/>
            </w:r>
            <w:r>
              <w:rPr>
                <w:rFonts w:ascii="仿宋" w:hAnsi="仿宋" w:eastAsia="仿宋" w:cs="Times New Roman"/>
                <w:color w:val="auto"/>
                <w:kern w:val="0"/>
                <w:sz w:val="24"/>
                <w:szCs w:val="24"/>
                <w:lang w:val="zh-CN" w:bidi="zh-CN"/>
              </w:rPr>
              <w:t>2. 科研经费分配僵化，青年教师资源受限。</w:t>
            </w:r>
          </w:p>
        </w:tc>
        <w:tc>
          <w:tcPr>
            <w:tcW w:w="3033" w:type="dxa"/>
          </w:tcPr>
          <w:p w14:paraId="4F2F3B4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仿宋" w:hAnsi="仿宋" w:eastAsia="仿宋" w:cs="Times New Roman"/>
                <w:color w:val="auto"/>
                <w:kern w:val="0"/>
                <w:sz w:val="24"/>
                <w:szCs w:val="24"/>
                <w:lang w:val="zh-CN" w:bidi="zh-CN"/>
              </w:rPr>
            </w:pPr>
            <w:r>
              <w:rPr>
                <w:rFonts w:ascii="仿宋" w:hAnsi="仿宋" w:eastAsia="仿宋" w:cs="Times New Roman"/>
                <w:color w:val="auto"/>
                <w:kern w:val="0"/>
                <w:sz w:val="24"/>
                <w:szCs w:val="24"/>
                <w:lang w:val="zh-CN" w:bidi="zh-CN"/>
              </w:rPr>
              <w:t>1. 推行“体育行业导师制”，举办校企对接会。</w:t>
            </w:r>
            <w:r>
              <w:rPr>
                <w:rFonts w:ascii="仿宋" w:hAnsi="仿宋" w:eastAsia="仿宋" w:cs="Times New Roman"/>
                <w:color w:val="auto"/>
                <w:kern w:val="0"/>
                <w:sz w:val="24"/>
                <w:szCs w:val="24"/>
                <w:lang w:val="zh-CN" w:bidi="zh-CN"/>
              </w:rPr>
              <w:br w:type="textWrapping"/>
            </w:r>
            <w:r>
              <w:rPr>
                <w:rFonts w:ascii="仿宋" w:hAnsi="仿宋" w:eastAsia="仿宋" w:cs="Times New Roman"/>
                <w:color w:val="auto"/>
                <w:kern w:val="0"/>
                <w:sz w:val="24"/>
                <w:szCs w:val="24"/>
                <w:lang w:val="zh-CN" w:bidi="zh-CN"/>
              </w:rPr>
              <w:t>2. 设立“青年教师科研基金”（年投入</w:t>
            </w:r>
            <w:r>
              <w:rPr>
                <w:rFonts w:hint="eastAsia" w:ascii="仿宋" w:hAnsi="仿宋" w:eastAsia="仿宋" w:cs="Times New Roman"/>
                <w:color w:val="auto"/>
                <w:kern w:val="0"/>
                <w:sz w:val="24"/>
                <w:szCs w:val="24"/>
                <w:lang w:val="en-US" w:bidi="zh-CN"/>
              </w:rPr>
              <w:t>5-1</w:t>
            </w:r>
            <w:r>
              <w:rPr>
                <w:rFonts w:ascii="仿宋" w:hAnsi="仿宋" w:eastAsia="仿宋" w:cs="Times New Roman"/>
                <w:color w:val="auto"/>
                <w:kern w:val="0"/>
                <w:sz w:val="24"/>
                <w:szCs w:val="24"/>
                <w:lang w:val="zh-CN" w:bidi="zh-CN"/>
              </w:rPr>
              <w:t>0万），优化科研申报流程。</w:t>
            </w:r>
          </w:p>
        </w:tc>
      </w:tr>
    </w:tbl>
    <w:p w14:paraId="4AF3137C">
      <w:pPr>
        <w:keepNext w:val="0"/>
        <w:keepLines w:val="0"/>
        <w:pageBreakBefore w:val="0"/>
        <w:widowControl w:val="0"/>
        <w:kinsoku/>
        <w:wordWrap/>
        <w:overflowPunct/>
        <w:topLinePunct w:val="0"/>
        <w:autoSpaceDE w:val="0"/>
        <w:autoSpaceDN w:val="0"/>
        <w:bidi w:val="0"/>
        <w:adjustRightInd/>
        <w:snapToGrid/>
        <w:spacing w:line="500" w:lineRule="exact"/>
        <w:ind w:firstLine="562" w:firstLineChars="200"/>
        <w:jc w:val="left"/>
        <w:textAlignment w:val="auto"/>
        <w:rPr>
          <w:rFonts w:hint="eastAsia" w:ascii="仿宋" w:hAnsi="仿宋" w:eastAsia="仿宋" w:cs="Times New Roman"/>
          <w:b/>
          <w:bCs/>
          <w:color w:val="auto"/>
          <w:kern w:val="0"/>
          <w:sz w:val="28"/>
          <w:szCs w:val="28"/>
          <w:lang w:val="zh-CN" w:bidi="zh-CN"/>
        </w:rPr>
      </w:pPr>
      <w:r>
        <w:rPr>
          <w:rFonts w:hint="eastAsia" w:ascii="仿宋" w:hAnsi="仿宋" w:eastAsia="仿宋" w:cs="Times New Roman"/>
          <w:b/>
          <w:bCs/>
          <w:color w:val="auto"/>
          <w:kern w:val="0"/>
          <w:sz w:val="28"/>
          <w:szCs w:val="28"/>
          <w:lang w:val="zh-CN" w:bidi="zh-CN"/>
        </w:rPr>
        <w:t>以上整改举措需结合2025年目标，分阶段推进：</w:t>
      </w:r>
    </w:p>
    <w:p w14:paraId="007E68FB">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Times New Roman"/>
          <w:color w:val="auto"/>
          <w:kern w:val="0"/>
          <w:sz w:val="28"/>
          <w:szCs w:val="28"/>
          <w:lang w:val="zh-CN" w:bidi="zh-CN"/>
        </w:rPr>
      </w:pPr>
      <w:r>
        <w:rPr>
          <w:rFonts w:hint="eastAsia" w:ascii="仿宋" w:hAnsi="仿宋" w:eastAsia="仿宋" w:cs="Times New Roman"/>
          <w:color w:val="auto"/>
          <w:kern w:val="0"/>
          <w:sz w:val="28"/>
          <w:szCs w:val="28"/>
          <w:lang w:val="zh-CN" w:bidi="zh-CN"/>
        </w:rPr>
        <w:t>- 短期（2024年）：启动运动积分制度、校企合作基地建设、跨学科课程开发。</w:t>
      </w:r>
    </w:p>
    <w:p w14:paraId="7822DE09">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Times New Roman"/>
          <w:color w:val="auto"/>
          <w:kern w:val="0"/>
          <w:sz w:val="28"/>
          <w:szCs w:val="28"/>
          <w:lang w:val="zh-CN" w:bidi="zh-CN"/>
        </w:rPr>
      </w:pPr>
      <w:r>
        <w:rPr>
          <w:rFonts w:hint="eastAsia" w:ascii="仿宋" w:hAnsi="仿宋" w:eastAsia="仿宋" w:cs="Times New Roman"/>
          <w:color w:val="auto"/>
          <w:kern w:val="0"/>
          <w:sz w:val="28"/>
          <w:szCs w:val="28"/>
          <w:lang w:val="zh-CN" w:bidi="zh-CN"/>
        </w:rPr>
        <w:t>- 中期（2025年）：完成多功能体育科技实训中心建设，实现质量改进台账100%闭环。</w:t>
      </w:r>
    </w:p>
    <w:p w14:paraId="172D74A3">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hint="eastAsia" w:ascii="仿宋" w:hAnsi="仿宋" w:eastAsia="仿宋" w:cs="Times New Roman"/>
          <w:color w:val="auto"/>
          <w:kern w:val="0"/>
          <w:sz w:val="28"/>
          <w:szCs w:val="28"/>
          <w:lang w:val="zh-CN" w:bidi="zh-CN"/>
        </w:rPr>
      </w:pPr>
      <w:r>
        <w:rPr>
          <w:rFonts w:hint="eastAsia" w:ascii="仿宋" w:hAnsi="仿宋" w:eastAsia="仿宋" w:cs="Times New Roman"/>
          <w:color w:val="auto"/>
          <w:kern w:val="0"/>
          <w:sz w:val="28"/>
          <w:szCs w:val="28"/>
          <w:lang w:val="zh-CN" w:bidi="zh-CN"/>
        </w:rPr>
        <w:t>- 长期（2026年）：形成稳定的产学研合作生态，全面提升职业服务与科研支持水平。</w:t>
      </w:r>
    </w:p>
    <w:p w14:paraId="041D8155">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left"/>
        <w:textAlignment w:val="auto"/>
        <w:rPr>
          <w:rFonts w:ascii="Times New Roman" w:hAnsi="Times New Roman" w:eastAsia="仿宋" w:cs="Times New Roman"/>
          <w:b/>
          <w:bCs/>
          <w:color w:val="auto"/>
          <w:kern w:val="0"/>
          <w:sz w:val="36"/>
          <w:szCs w:val="36"/>
          <w:lang w:val="zh-CN" w:bidi="zh-CN"/>
        </w:rPr>
      </w:pPr>
      <w:r>
        <w:rPr>
          <w:rFonts w:hint="eastAsia" w:ascii="仿宋" w:hAnsi="仿宋" w:eastAsia="仿宋" w:cs="Times New Roman"/>
          <w:color w:val="auto"/>
          <w:kern w:val="0"/>
          <w:sz w:val="28"/>
          <w:szCs w:val="28"/>
          <w:lang w:val="zh-CN" w:bidi="zh-CN"/>
        </w:rPr>
        <w:t>通过系统性改进，推动</w:t>
      </w:r>
      <w:r>
        <w:rPr>
          <w:rFonts w:hint="eastAsia" w:ascii="仿宋" w:hAnsi="仿宋" w:eastAsia="仿宋" w:cs="Times New Roman"/>
          <w:color w:val="auto"/>
          <w:kern w:val="0"/>
          <w:sz w:val="28"/>
          <w:szCs w:val="28"/>
          <w:lang w:val="en-US" w:bidi="zh-CN"/>
        </w:rPr>
        <w:t>体育</w:t>
      </w:r>
      <w:r>
        <w:rPr>
          <w:rFonts w:hint="eastAsia" w:ascii="仿宋" w:hAnsi="仿宋" w:eastAsia="仿宋" w:cs="Times New Roman"/>
          <w:color w:val="auto"/>
          <w:kern w:val="0"/>
          <w:sz w:val="28"/>
          <w:szCs w:val="28"/>
          <w:lang w:val="zh-CN" w:bidi="zh-CN"/>
        </w:rPr>
        <w:t>教学成效各“度”均衡提升，实现人才培养质量持续优化。</w:t>
      </w:r>
    </w:p>
    <w:p w14:paraId="113A9C14">
      <w:pPr>
        <w:autoSpaceDE w:val="0"/>
        <w:autoSpaceDN w:val="0"/>
        <w:spacing w:line="317" w:lineRule="auto"/>
        <w:ind w:firstLine="723" w:firstLineChars="200"/>
        <w:rPr>
          <w:rFonts w:hint="eastAsia" w:ascii="Times New Roman" w:hAnsi="Times New Roman" w:eastAsia="仿宋" w:cs="Times New Roman"/>
          <w:b/>
          <w:bCs/>
          <w:color w:val="auto"/>
          <w:kern w:val="0"/>
          <w:sz w:val="36"/>
          <w:szCs w:val="36"/>
          <w:lang w:val="zh-CN" w:bidi="zh-CN"/>
        </w:rPr>
      </w:pPr>
    </w:p>
    <w:p w14:paraId="4E2E8B7E">
      <w:pPr>
        <w:autoSpaceDE w:val="0"/>
        <w:autoSpaceDN w:val="0"/>
        <w:spacing w:line="317" w:lineRule="auto"/>
        <w:ind w:firstLine="723" w:firstLineChars="200"/>
        <w:rPr>
          <w:rFonts w:hint="eastAsia" w:ascii="Times New Roman" w:hAnsi="Times New Roman" w:eastAsia="仿宋" w:cs="Times New Roman"/>
          <w:b/>
          <w:bCs/>
          <w:color w:val="auto"/>
          <w:kern w:val="0"/>
          <w:sz w:val="36"/>
          <w:szCs w:val="36"/>
          <w:lang w:val="zh-CN" w:bidi="zh-CN"/>
        </w:rPr>
      </w:pPr>
    </w:p>
    <w:p w14:paraId="4A29BD9A">
      <w:pPr>
        <w:autoSpaceDE w:val="0"/>
        <w:autoSpaceDN w:val="0"/>
        <w:spacing w:line="317" w:lineRule="auto"/>
        <w:ind w:firstLine="723" w:firstLineChars="200"/>
        <w:rPr>
          <w:rFonts w:hint="eastAsia" w:ascii="Times New Roman" w:hAnsi="Times New Roman" w:eastAsia="仿宋" w:cs="Times New Roman"/>
          <w:b/>
          <w:bCs/>
          <w:color w:val="auto"/>
          <w:kern w:val="0"/>
          <w:sz w:val="36"/>
          <w:szCs w:val="36"/>
          <w:lang w:val="zh-CN" w:bidi="zh-CN"/>
        </w:rPr>
      </w:pPr>
    </w:p>
    <w:p w14:paraId="27AB13AB">
      <w:pPr>
        <w:autoSpaceDE w:val="0"/>
        <w:autoSpaceDN w:val="0"/>
        <w:spacing w:line="317" w:lineRule="auto"/>
        <w:ind w:firstLine="723" w:firstLineChars="200"/>
        <w:rPr>
          <w:rFonts w:hint="eastAsia" w:ascii="Times New Roman" w:hAnsi="Times New Roman" w:eastAsia="仿宋" w:cs="Times New Roman"/>
          <w:b/>
          <w:bCs/>
          <w:color w:val="auto"/>
          <w:kern w:val="0"/>
          <w:sz w:val="36"/>
          <w:szCs w:val="36"/>
          <w:lang w:val="zh-CN" w:bidi="zh-CN"/>
        </w:rPr>
      </w:pPr>
    </w:p>
    <w:p w14:paraId="26AEF4B9">
      <w:pPr>
        <w:rPr>
          <w:rFonts w:hint="eastAsia" w:ascii="Times New Roman" w:hAnsi="Times New Roman" w:cs="Times New Roman"/>
          <w:b/>
          <w:bCs/>
          <w:color w:val="auto"/>
          <w:lang w:eastAsia="zh-CN"/>
        </w:rPr>
      </w:pPr>
      <w:r>
        <w:rPr>
          <w:rFonts w:hint="eastAsia" w:ascii="Times New Roman" w:hAnsi="Times New Roman" w:cs="Times New Roman"/>
          <w:b/>
          <w:bCs/>
          <w:color w:val="auto"/>
          <w:lang w:eastAsia="zh-CN"/>
        </w:rPr>
        <w:br w:type="page"/>
      </w:r>
    </w:p>
    <w:p w14:paraId="182D9D40">
      <w:pPr>
        <w:pStyle w:val="2"/>
        <w:keepNext w:val="0"/>
        <w:keepLines w:val="0"/>
        <w:pageBreakBefore w:val="0"/>
        <w:widowControl w:val="0"/>
        <w:kinsoku/>
        <w:wordWrap/>
        <w:overflowPunct/>
        <w:topLinePunct w:val="0"/>
        <w:autoSpaceDE w:val="0"/>
        <w:autoSpaceDN w:val="0"/>
        <w:bidi w:val="0"/>
        <w:adjustRightInd/>
        <w:snapToGrid/>
        <w:spacing w:line="317" w:lineRule="auto"/>
        <w:ind w:left="0" w:leftChars="0" w:right="0" w:firstLine="0" w:firstLineChars="0"/>
        <w:jc w:val="center"/>
        <w:textAlignment w:val="auto"/>
        <w:rPr>
          <w:rFonts w:hint="default" w:ascii="Times New Roman" w:hAnsi="Times New Roman" w:cs="Times New Roman"/>
          <w:b/>
          <w:bCs/>
          <w:color w:val="auto"/>
          <w:lang w:val="en-US" w:eastAsia="zh-CN"/>
        </w:rPr>
      </w:pPr>
      <w:bookmarkStart w:id="190" w:name="_Toc15296"/>
      <w:r>
        <w:rPr>
          <w:rFonts w:hint="eastAsia" w:ascii="Times New Roman" w:hAnsi="Times New Roman" w:cs="Times New Roman"/>
          <w:b/>
          <w:bCs/>
          <w:color w:val="auto"/>
          <w:lang w:eastAsia="zh-CN"/>
        </w:rPr>
        <w:t>第四部分</w:t>
      </w:r>
      <w:r>
        <w:rPr>
          <w:rFonts w:hint="eastAsia" w:ascii="Times New Roman" w:hAnsi="Times New Roman" w:cs="Times New Roman"/>
          <w:b/>
          <w:bCs/>
          <w:color w:val="auto"/>
          <w:lang w:val="en-US" w:eastAsia="zh-CN"/>
        </w:rPr>
        <w:t xml:space="preserve">  附录</w:t>
      </w:r>
      <w:bookmarkEnd w:id="190"/>
    </w:p>
    <w:p w14:paraId="7E272FF5">
      <w:pPr>
        <w:pStyle w:val="3"/>
        <w:pageBreakBefore w:val="0"/>
        <w:kinsoku/>
        <w:wordWrap/>
        <w:overflowPunct/>
        <w:bidi w:val="0"/>
        <w:spacing w:line="317" w:lineRule="auto"/>
        <w:rPr>
          <w:color w:val="auto"/>
        </w:rPr>
      </w:pPr>
      <w:bookmarkStart w:id="191" w:name="_Toc8330"/>
      <w:r>
        <w:rPr>
          <w:color w:val="auto"/>
        </w:rPr>
        <w:t xml:space="preserve">附 </w:t>
      </w:r>
      <w:r>
        <w:rPr>
          <w:rFonts w:hint="eastAsia"/>
          <w:color w:val="auto"/>
          <w:lang w:eastAsia="zh-CN"/>
        </w:rPr>
        <w:t>录</w:t>
      </w:r>
      <w:r>
        <w:rPr>
          <w:color w:val="auto"/>
        </w:rPr>
        <w:t>1</w:t>
      </w:r>
      <w:bookmarkEnd w:id="191"/>
      <w:r>
        <w:rPr>
          <w:rFonts w:ascii="Times New Roman" w:hAnsi="Times New Roman" w:cs="Times New Roman"/>
          <w:color w:val="auto"/>
          <w:lang w:val="zh-CN" w:eastAsia="zh-CN"/>
        </w:rPr>
        <w:t>：</w:t>
      </w:r>
      <w:r>
        <w:rPr>
          <w:color w:val="auto"/>
        </w:rPr>
        <w:t xml:space="preserve"> </w:t>
      </w:r>
    </w:p>
    <w:p w14:paraId="76A96704">
      <w:pPr>
        <w:pStyle w:val="3"/>
        <w:pageBreakBefore w:val="0"/>
        <w:kinsoku/>
        <w:wordWrap/>
        <w:overflowPunct/>
        <w:bidi w:val="0"/>
        <w:spacing w:line="317" w:lineRule="auto"/>
        <w:ind w:left="0" w:firstLine="1764" w:firstLineChars="600"/>
        <w:rPr>
          <w:rFonts w:ascii="Times New Roman" w:hAnsi="Times New Roman" w:eastAsia="仿宋" w:cs="Times New Roman"/>
          <w:color w:val="auto"/>
          <w:spacing w:val="-3"/>
          <w:sz w:val="28"/>
          <w:szCs w:val="28"/>
        </w:rPr>
      </w:pPr>
      <w:bookmarkStart w:id="192" w:name="_Toc62"/>
      <w:bookmarkStart w:id="193" w:name="_Toc15689"/>
      <w:r>
        <w:rPr>
          <w:rFonts w:hint="eastAsia" w:ascii="黑体" w:hAnsi="黑体" w:eastAsia="黑体" w:cs="黑体"/>
          <w:b w:val="0"/>
          <w:bCs w:val="0"/>
          <w:color w:val="auto"/>
          <w:spacing w:val="-3"/>
          <w:sz w:val="30"/>
          <w:szCs w:val="30"/>
        </w:rPr>
        <w:t>本科教育教学自评</w:t>
      </w:r>
      <w:r>
        <w:rPr>
          <w:rFonts w:hint="eastAsia" w:ascii="黑体" w:hAnsi="黑体" w:eastAsia="黑体" w:cs="黑体"/>
          <w:b w:val="0"/>
          <w:bCs w:val="0"/>
          <w:color w:val="auto"/>
          <w:spacing w:val="-3"/>
          <w:sz w:val="30"/>
          <w:szCs w:val="30"/>
          <w:lang w:eastAsia="zh-CN"/>
        </w:rPr>
        <w:t>分及</w:t>
      </w:r>
      <w:r>
        <w:rPr>
          <w:rFonts w:hint="eastAsia" w:ascii="黑体" w:hAnsi="黑体" w:eastAsia="黑体" w:cs="黑体"/>
          <w:b w:val="0"/>
          <w:bCs w:val="0"/>
          <w:color w:val="auto"/>
          <w:spacing w:val="-3"/>
          <w:sz w:val="30"/>
          <w:szCs w:val="30"/>
        </w:rPr>
        <w:t>问题清单</w:t>
      </w:r>
      <w:r>
        <w:rPr>
          <w:rFonts w:hint="eastAsia" w:ascii="黑体" w:hAnsi="黑体" w:eastAsia="黑体" w:cs="黑体"/>
          <w:b w:val="0"/>
          <w:bCs w:val="0"/>
          <w:color w:val="auto"/>
          <w:spacing w:val="-3"/>
          <w:sz w:val="30"/>
          <w:szCs w:val="30"/>
          <w:lang w:eastAsia="zh-CN"/>
        </w:rPr>
        <w:t>一览</w:t>
      </w:r>
      <w:r>
        <w:rPr>
          <w:rFonts w:hint="eastAsia" w:ascii="黑体" w:hAnsi="黑体" w:eastAsia="黑体" w:cs="黑体"/>
          <w:b w:val="0"/>
          <w:bCs w:val="0"/>
          <w:color w:val="auto"/>
          <w:spacing w:val="-3"/>
          <w:sz w:val="30"/>
          <w:szCs w:val="30"/>
        </w:rPr>
        <w:t>表</w:t>
      </w:r>
      <w:bookmarkEnd w:id="192"/>
      <w:bookmarkEnd w:id="193"/>
    </w:p>
    <w:tbl>
      <w:tblPr>
        <w:tblStyle w:val="17"/>
        <w:tblW w:w="8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2"/>
        <w:gridCol w:w="2762"/>
        <w:gridCol w:w="1183"/>
        <w:gridCol w:w="3158"/>
      </w:tblGrid>
      <w:tr w14:paraId="232E4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4564" w:type="dxa"/>
            <w:gridSpan w:val="2"/>
            <w:vAlign w:val="center"/>
          </w:tcPr>
          <w:p w14:paraId="0E6C1060">
            <w:pPr>
              <w:pageBreakBefore w:val="0"/>
              <w:kinsoku/>
              <w:wordWrap/>
              <w:overflowPunct/>
              <w:bidi w:val="0"/>
              <w:spacing w:line="317" w:lineRule="auto"/>
              <w:ind w:left="0" w:leftChars="0" w:firstLine="0" w:firstLineChars="0"/>
              <w:jc w:val="center"/>
              <w:rPr>
                <w:rFonts w:hint="eastAsia" w:ascii="Times New Roman" w:hAnsi="Times New Roman" w:eastAsia="仿宋" w:cs="Times New Roman"/>
                <w:b/>
                <w:bCs/>
                <w:color w:val="auto"/>
                <w:sz w:val="28"/>
                <w:szCs w:val="28"/>
                <w:lang w:eastAsia="zh-CN"/>
              </w:rPr>
            </w:pPr>
            <w:r>
              <w:rPr>
                <w:rFonts w:hint="eastAsia" w:ascii="Times New Roman" w:hAnsi="Times New Roman" w:eastAsia="仿宋" w:cs="Times New Roman"/>
                <w:b/>
                <w:bCs/>
                <w:color w:val="auto"/>
                <w:sz w:val="28"/>
                <w:szCs w:val="28"/>
                <w:lang w:eastAsia="zh-CN"/>
              </w:rPr>
              <w:t>评估指标及分值</w:t>
            </w:r>
          </w:p>
        </w:tc>
        <w:tc>
          <w:tcPr>
            <w:tcW w:w="1183" w:type="dxa"/>
            <w:vMerge w:val="restart"/>
            <w:vAlign w:val="center"/>
          </w:tcPr>
          <w:p w14:paraId="5B88328C">
            <w:pPr>
              <w:pageBreakBefore w:val="0"/>
              <w:kinsoku/>
              <w:wordWrap/>
              <w:overflowPunct/>
              <w:bidi w:val="0"/>
              <w:spacing w:line="317" w:lineRule="auto"/>
              <w:ind w:left="0" w:leftChars="0" w:firstLine="0" w:firstLineChars="0"/>
              <w:jc w:val="center"/>
              <w:rPr>
                <w:rFonts w:hint="eastAsia" w:ascii="Times New Roman" w:hAnsi="Times New Roman" w:eastAsia="仿宋" w:cs="Times New Roman"/>
                <w:b/>
                <w:bCs/>
                <w:color w:val="auto"/>
                <w:sz w:val="28"/>
                <w:szCs w:val="28"/>
                <w:lang w:eastAsia="zh-CN"/>
              </w:rPr>
            </w:pPr>
            <w:r>
              <w:rPr>
                <w:rFonts w:hint="eastAsia" w:ascii="Times New Roman" w:hAnsi="Times New Roman" w:eastAsia="仿宋" w:cs="Times New Roman"/>
                <w:b/>
                <w:bCs/>
                <w:color w:val="auto"/>
                <w:sz w:val="28"/>
                <w:szCs w:val="28"/>
                <w:lang w:eastAsia="zh-CN"/>
              </w:rPr>
              <w:t>自评分</w:t>
            </w:r>
          </w:p>
        </w:tc>
        <w:tc>
          <w:tcPr>
            <w:tcW w:w="3158" w:type="dxa"/>
            <w:vMerge w:val="restart"/>
            <w:vAlign w:val="center"/>
          </w:tcPr>
          <w:p w14:paraId="537B77A2">
            <w:pPr>
              <w:pageBreakBefore w:val="0"/>
              <w:kinsoku/>
              <w:wordWrap/>
              <w:overflowPunct/>
              <w:bidi w:val="0"/>
              <w:spacing w:line="317" w:lineRule="auto"/>
              <w:ind w:left="0" w:leftChars="0" w:firstLine="0" w:firstLineChars="0"/>
              <w:jc w:val="center"/>
              <w:rPr>
                <w:rFonts w:hint="eastAsia" w:ascii="Times New Roman" w:hAnsi="Times New Roman" w:eastAsia="仿宋" w:cs="Times New Roman"/>
                <w:b/>
                <w:bCs/>
                <w:color w:val="auto"/>
                <w:sz w:val="28"/>
                <w:szCs w:val="28"/>
                <w:lang w:eastAsia="zh-CN"/>
              </w:rPr>
            </w:pPr>
            <w:r>
              <w:rPr>
                <w:rFonts w:hint="eastAsia" w:ascii="Times New Roman" w:hAnsi="Times New Roman" w:eastAsia="仿宋" w:cs="Times New Roman"/>
                <w:b/>
                <w:bCs/>
                <w:color w:val="auto"/>
                <w:sz w:val="28"/>
                <w:szCs w:val="28"/>
                <w:lang w:eastAsia="zh-CN"/>
              </w:rPr>
              <w:t>主要问题（简明表述）</w:t>
            </w:r>
          </w:p>
        </w:tc>
      </w:tr>
      <w:tr w14:paraId="7EAAD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802" w:type="dxa"/>
            <w:vAlign w:val="center"/>
          </w:tcPr>
          <w:p w14:paraId="6EC486FB">
            <w:pPr>
              <w:pageBreakBefore w:val="0"/>
              <w:kinsoku/>
              <w:wordWrap/>
              <w:overflowPunct/>
              <w:bidi w:val="0"/>
              <w:spacing w:line="317" w:lineRule="auto"/>
              <w:ind w:left="0" w:leftChars="0" w:firstLine="0" w:firstLineChars="0"/>
              <w:jc w:val="center"/>
              <w:rPr>
                <w:rFonts w:hint="eastAsia" w:ascii="Times New Roman" w:hAnsi="Times New Roman" w:eastAsia="仿宋" w:cs="Times New Roman"/>
                <w:color w:val="auto"/>
                <w:sz w:val="28"/>
                <w:szCs w:val="28"/>
                <w:lang w:eastAsia="zh-CN"/>
              </w:rPr>
            </w:pPr>
            <w:r>
              <w:rPr>
                <w:rFonts w:hint="eastAsia" w:ascii="Times New Roman" w:hAnsi="Times New Roman" w:eastAsia="仿宋" w:cs="Times New Roman"/>
                <w:color w:val="auto"/>
                <w:sz w:val="28"/>
                <w:szCs w:val="28"/>
                <w:lang w:eastAsia="zh-CN"/>
              </w:rPr>
              <w:t>一级指标</w:t>
            </w:r>
          </w:p>
        </w:tc>
        <w:tc>
          <w:tcPr>
            <w:tcW w:w="2762" w:type="dxa"/>
            <w:vAlign w:val="center"/>
          </w:tcPr>
          <w:p w14:paraId="066D0726">
            <w:pPr>
              <w:pageBreakBefore w:val="0"/>
              <w:kinsoku/>
              <w:wordWrap/>
              <w:overflowPunct/>
              <w:bidi w:val="0"/>
              <w:spacing w:line="317" w:lineRule="auto"/>
              <w:ind w:left="0" w:leftChars="0" w:firstLine="0" w:firstLineChars="0"/>
              <w:jc w:val="center"/>
              <w:rPr>
                <w:rFonts w:hint="eastAsia" w:ascii="Times New Roman" w:hAnsi="Times New Roman" w:eastAsia="仿宋" w:cs="Times New Roman"/>
                <w:color w:val="auto"/>
                <w:sz w:val="28"/>
                <w:szCs w:val="28"/>
                <w:lang w:eastAsia="zh-CN"/>
              </w:rPr>
            </w:pPr>
            <w:r>
              <w:rPr>
                <w:rFonts w:hint="eastAsia" w:ascii="Times New Roman" w:hAnsi="Times New Roman" w:eastAsia="仿宋" w:cs="Times New Roman"/>
                <w:color w:val="auto"/>
                <w:sz w:val="28"/>
                <w:szCs w:val="28"/>
                <w:lang w:eastAsia="zh-CN"/>
              </w:rPr>
              <w:t>二级指标</w:t>
            </w:r>
          </w:p>
        </w:tc>
        <w:tc>
          <w:tcPr>
            <w:tcW w:w="1183" w:type="dxa"/>
            <w:vMerge w:val="continue"/>
            <w:vAlign w:val="center"/>
          </w:tcPr>
          <w:p w14:paraId="6FD14B01">
            <w:pPr>
              <w:pageBreakBefore w:val="0"/>
              <w:kinsoku/>
              <w:wordWrap/>
              <w:overflowPunct/>
              <w:bidi w:val="0"/>
              <w:spacing w:line="317" w:lineRule="auto"/>
              <w:jc w:val="center"/>
              <w:rPr>
                <w:rFonts w:hint="eastAsia" w:ascii="Times New Roman" w:hAnsi="Times New Roman" w:eastAsia="仿宋" w:cs="Times New Roman"/>
                <w:color w:val="auto"/>
                <w:sz w:val="28"/>
                <w:szCs w:val="28"/>
                <w:lang w:eastAsia="zh-CN"/>
              </w:rPr>
            </w:pPr>
          </w:p>
        </w:tc>
        <w:tc>
          <w:tcPr>
            <w:tcW w:w="3158" w:type="dxa"/>
            <w:vMerge w:val="continue"/>
            <w:vAlign w:val="center"/>
          </w:tcPr>
          <w:p w14:paraId="5A416DA0">
            <w:pPr>
              <w:pageBreakBefore w:val="0"/>
              <w:kinsoku/>
              <w:wordWrap/>
              <w:overflowPunct/>
              <w:bidi w:val="0"/>
              <w:spacing w:line="317" w:lineRule="auto"/>
              <w:jc w:val="center"/>
              <w:rPr>
                <w:rFonts w:hint="eastAsia" w:ascii="Times New Roman" w:hAnsi="Times New Roman" w:eastAsia="仿宋" w:cs="Times New Roman"/>
                <w:color w:val="auto"/>
                <w:sz w:val="28"/>
                <w:szCs w:val="28"/>
                <w:lang w:eastAsia="zh-CN"/>
              </w:rPr>
            </w:pPr>
          </w:p>
        </w:tc>
      </w:tr>
      <w:tr w14:paraId="366BA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802" w:type="dxa"/>
            <w:vMerge w:val="restart"/>
          </w:tcPr>
          <w:p w14:paraId="27072378">
            <w:pPr>
              <w:pageBreakBefore w:val="0"/>
              <w:kinsoku/>
              <w:wordWrap/>
              <w:overflowPunct/>
              <w:bidi w:val="0"/>
              <w:spacing w:line="317" w:lineRule="auto"/>
              <w:ind w:left="0" w:leftChars="0" w:firstLine="0" w:firstLineChars="0"/>
              <w:jc w:val="center"/>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eastAsia="zh-CN"/>
              </w:rPr>
              <w:t>1.办学方向与本科地位</w:t>
            </w:r>
            <w:r>
              <w:rPr>
                <w:rFonts w:hint="eastAsia" w:ascii="Times New Roman" w:hAnsi="Times New Roman" w:eastAsia="仿宋" w:cs="Times New Roman"/>
                <w:color w:val="auto"/>
                <w:sz w:val="28"/>
                <w:szCs w:val="28"/>
                <w:lang w:val="en-US" w:eastAsia="zh-CN"/>
              </w:rPr>
              <w:t>(10分）</w:t>
            </w:r>
          </w:p>
        </w:tc>
        <w:tc>
          <w:tcPr>
            <w:tcW w:w="2762" w:type="dxa"/>
            <w:shd w:val="clear" w:color="auto" w:fill="auto"/>
            <w:vAlign w:val="center"/>
          </w:tcPr>
          <w:p w14:paraId="263C634D">
            <w:pPr>
              <w:pageBreakBefore w:val="0"/>
              <w:kinsoku/>
              <w:wordWrap/>
              <w:overflowPunct/>
              <w:bidi w:val="0"/>
              <w:spacing w:line="317" w:lineRule="auto"/>
              <w:ind w:left="0" w:leftChars="0" w:firstLine="0" w:firstLineChars="0"/>
              <w:jc w:val="center"/>
              <w:rPr>
                <w:rFonts w:hint="default"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eastAsia="zh-CN"/>
              </w:rPr>
              <w:t>1.1党的领导（</w:t>
            </w:r>
            <w:r>
              <w:rPr>
                <w:rFonts w:hint="eastAsia" w:ascii="Times New Roman" w:hAnsi="Times New Roman" w:eastAsia="仿宋" w:cs="Times New Roman"/>
                <w:color w:val="auto"/>
                <w:sz w:val="28"/>
                <w:szCs w:val="28"/>
                <w:lang w:val="en-US" w:eastAsia="zh-CN"/>
              </w:rPr>
              <w:t>3分）</w:t>
            </w:r>
          </w:p>
        </w:tc>
        <w:tc>
          <w:tcPr>
            <w:tcW w:w="1183" w:type="dxa"/>
            <w:shd w:val="clear" w:color="auto" w:fill="auto"/>
            <w:vAlign w:val="center"/>
          </w:tcPr>
          <w:p w14:paraId="5C696B87">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c>
          <w:tcPr>
            <w:tcW w:w="3158" w:type="dxa"/>
          </w:tcPr>
          <w:p w14:paraId="741A912D">
            <w:pPr>
              <w:pageBreakBefore w:val="0"/>
              <w:kinsoku/>
              <w:wordWrap/>
              <w:overflowPunct/>
              <w:bidi w:val="0"/>
              <w:spacing w:line="317" w:lineRule="auto"/>
              <w:jc w:val="center"/>
              <w:rPr>
                <w:rFonts w:hint="eastAsia" w:ascii="Times New Roman" w:hAnsi="Times New Roman" w:eastAsia="仿宋" w:cs="Times New Roman"/>
                <w:color w:val="auto"/>
                <w:sz w:val="28"/>
                <w:szCs w:val="28"/>
                <w:lang w:eastAsia="zh-CN"/>
              </w:rPr>
            </w:pPr>
          </w:p>
        </w:tc>
      </w:tr>
      <w:tr w14:paraId="5A226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7" w:hRule="atLeast"/>
          <w:jc w:val="center"/>
        </w:trPr>
        <w:tc>
          <w:tcPr>
            <w:tcW w:w="1802" w:type="dxa"/>
            <w:vMerge w:val="continue"/>
          </w:tcPr>
          <w:p w14:paraId="664C0251">
            <w:pPr>
              <w:pageBreakBefore w:val="0"/>
              <w:kinsoku/>
              <w:wordWrap/>
              <w:overflowPunct/>
              <w:bidi w:val="0"/>
              <w:spacing w:line="317" w:lineRule="auto"/>
              <w:jc w:val="center"/>
              <w:rPr>
                <w:rFonts w:hint="eastAsia" w:ascii="Times New Roman" w:hAnsi="Times New Roman" w:eastAsia="仿宋" w:cs="Times New Roman"/>
                <w:color w:val="auto"/>
                <w:sz w:val="28"/>
                <w:szCs w:val="28"/>
                <w:lang w:eastAsia="zh-CN"/>
              </w:rPr>
            </w:pPr>
          </w:p>
        </w:tc>
        <w:tc>
          <w:tcPr>
            <w:tcW w:w="2762" w:type="dxa"/>
          </w:tcPr>
          <w:p w14:paraId="1D644E49">
            <w:pPr>
              <w:pageBreakBefore w:val="0"/>
              <w:kinsoku/>
              <w:wordWrap/>
              <w:overflowPunct/>
              <w:bidi w:val="0"/>
              <w:spacing w:line="317" w:lineRule="auto"/>
              <w:ind w:left="0" w:leftChars="0" w:firstLine="0" w:firstLineChars="0"/>
              <w:jc w:val="center"/>
              <w:rPr>
                <w:rFonts w:hint="default"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eastAsia="zh-CN"/>
              </w:rPr>
              <w:t>1.2思政教育（</w:t>
            </w:r>
            <w:r>
              <w:rPr>
                <w:rFonts w:hint="eastAsia" w:ascii="Times New Roman" w:hAnsi="Times New Roman" w:eastAsia="仿宋" w:cs="Times New Roman"/>
                <w:color w:val="auto"/>
                <w:sz w:val="28"/>
                <w:szCs w:val="28"/>
                <w:lang w:val="en-US" w:eastAsia="zh-CN"/>
              </w:rPr>
              <w:t>3分）</w:t>
            </w:r>
          </w:p>
        </w:tc>
        <w:tc>
          <w:tcPr>
            <w:tcW w:w="1183" w:type="dxa"/>
          </w:tcPr>
          <w:p w14:paraId="4E049C92">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c>
          <w:tcPr>
            <w:tcW w:w="3158" w:type="dxa"/>
          </w:tcPr>
          <w:p w14:paraId="02E4E359">
            <w:pPr>
              <w:pageBreakBefore w:val="0"/>
              <w:kinsoku/>
              <w:wordWrap/>
              <w:overflowPunct/>
              <w:bidi w:val="0"/>
              <w:spacing w:line="317" w:lineRule="auto"/>
              <w:jc w:val="center"/>
              <w:rPr>
                <w:rFonts w:hint="eastAsia" w:ascii="Times New Roman" w:hAnsi="Times New Roman" w:eastAsia="仿宋" w:cs="Times New Roman"/>
                <w:color w:val="auto"/>
                <w:sz w:val="28"/>
                <w:szCs w:val="28"/>
                <w:lang w:eastAsia="zh-CN"/>
              </w:rPr>
            </w:pPr>
          </w:p>
        </w:tc>
      </w:tr>
      <w:tr w14:paraId="46D98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802" w:type="dxa"/>
            <w:vMerge w:val="continue"/>
          </w:tcPr>
          <w:p w14:paraId="5CD5BA69">
            <w:pPr>
              <w:pageBreakBefore w:val="0"/>
              <w:kinsoku/>
              <w:wordWrap/>
              <w:overflowPunct/>
              <w:bidi w:val="0"/>
              <w:spacing w:line="317" w:lineRule="auto"/>
              <w:jc w:val="center"/>
              <w:rPr>
                <w:rFonts w:hint="eastAsia" w:ascii="Times New Roman" w:hAnsi="Times New Roman" w:eastAsia="仿宋" w:cs="Times New Roman"/>
                <w:color w:val="auto"/>
                <w:sz w:val="28"/>
                <w:szCs w:val="28"/>
                <w:lang w:eastAsia="zh-CN"/>
              </w:rPr>
            </w:pPr>
          </w:p>
        </w:tc>
        <w:tc>
          <w:tcPr>
            <w:tcW w:w="2762" w:type="dxa"/>
            <w:tcBorders>
              <w:bottom w:val="single" w:color="auto" w:sz="4" w:space="0"/>
            </w:tcBorders>
            <w:shd w:val="clear" w:color="auto" w:fill="auto"/>
            <w:vAlign w:val="center"/>
          </w:tcPr>
          <w:p w14:paraId="44E3AE94">
            <w:pPr>
              <w:pageBreakBefore w:val="0"/>
              <w:kinsoku/>
              <w:wordWrap/>
              <w:overflowPunct/>
              <w:bidi w:val="0"/>
              <w:spacing w:line="317" w:lineRule="auto"/>
              <w:ind w:left="0" w:leftChars="0" w:firstLine="0" w:firstLineChars="0"/>
              <w:jc w:val="center"/>
              <w:rPr>
                <w:rFonts w:hint="default"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eastAsia="zh-CN"/>
              </w:rPr>
              <w:t>1.3本科地位（</w:t>
            </w:r>
            <w:r>
              <w:rPr>
                <w:rFonts w:hint="eastAsia" w:ascii="Times New Roman" w:hAnsi="Times New Roman" w:eastAsia="仿宋" w:cs="Times New Roman"/>
                <w:color w:val="auto"/>
                <w:sz w:val="28"/>
                <w:szCs w:val="28"/>
                <w:lang w:val="en-US" w:eastAsia="zh-CN"/>
              </w:rPr>
              <w:t>4分）</w:t>
            </w:r>
          </w:p>
        </w:tc>
        <w:tc>
          <w:tcPr>
            <w:tcW w:w="1183" w:type="dxa"/>
            <w:tcBorders>
              <w:bottom w:val="single" w:color="auto" w:sz="4" w:space="0"/>
            </w:tcBorders>
            <w:shd w:val="clear" w:color="auto" w:fill="auto"/>
            <w:vAlign w:val="center"/>
          </w:tcPr>
          <w:p w14:paraId="5DB7E0A4">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c>
          <w:tcPr>
            <w:tcW w:w="3158" w:type="dxa"/>
            <w:tcBorders>
              <w:bottom w:val="single" w:color="auto" w:sz="4" w:space="0"/>
            </w:tcBorders>
          </w:tcPr>
          <w:p w14:paraId="2BFB386C">
            <w:pPr>
              <w:pageBreakBefore w:val="0"/>
              <w:kinsoku/>
              <w:wordWrap/>
              <w:overflowPunct/>
              <w:bidi w:val="0"/>
              <w:spacing w:line="317" w:lineRule="auto"/>
              <w:jc w:val="center"/>
              <w:rPr>
                <w:rFonts w:hint="eastAsia" w:ascii="Times New Roman" w:hAnsi="Times New Roman" w:eastAsia="仿宋" w:cs="Times New Roman"/>
                <w:color w:val="auto"/>
                <w:sz w:val="28"/>
                <w:szCs w:val="28"/>
                <w:lang w:eastAsia="zh-CN"/>
              </w:rPr>
            </w:pPr>
          </w:p>
        </w:tc>
      </w:tr>
      <w:tr w14:paraId="0EF36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802" w:type="dxa"/>
            <w:vMerge w:val="restart"/>
            <w:tcBorders>
              <w:right w:val="single" w:color="auto" w:sz="4" w:space="0"/>
            </w:tcBorders>
          </w:tcPr>
          <w:p w14:paraId="3D096FB6">
            <w:pPr>
              <w:pageBreakBefore w:val="0"/>
              <w:kinsoku/>
              <w:wordWrap/>
              <w:overflowPunct/>
              <w:bidi w:val="0"/>
              <w:spacing w:line="317" w:lineRule="auto"/>
              <w:ind w:left="0" w:leftChars="0" w:firstLine="0" w:firstLineChars="0"/>
              <w:jc w:val="center"/>
              <w:rPr>
                <w:rFonts w:hint="default"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eastAsia="zh-CN"/>
              </w:rPr>
              <w:t>2.培养过程（</w:t>
            </w:r>
            <w:r>
              <w:rPr>
                <w:rFonts w:hint="eastAsia" w:ascii="Times New Roman" w:hAnsi="Times New Roman" w:eastAsia="仿宋" w:cs="Times New Roman"/>
                <w:color w:val="auto"/>
                <w:sz w:val="28"/>
                <w:szCs w:val="28"/>
                <w:lang w:val="en-US" w:eastAsia="zh-CN"/>
              </w:rPr>
              <w:t>35分）</w:t>
            </w:r>
          </w:p>
        </w:tc>
        <w:tc>
          <w:tcPr>
            <w:tcW w:w="2762" w:type="dxa"/>
            <w:tcBorders>
              <w:top w:val="single" w:color="auto" w:sz="4" w:space="0"/>
              <w:left w:val="single" w:color="auto" w:sz="4" w:space="0"/>
              <w:bottom w:val="single" w:color="auto" w:sz="4" w:space="0"/>
              <w:right w:val="single" w:color="auto" w:sz="4" w:space="0"/>
            </w:tcBorders>
          </w:tcPr>
          <w:p w14:paraId="74FD3547">
            <w:pPr>
              <w:pageBreakBefore w:val="0"/>
              <w:kinsoku/>
              <w:wordWrap/>
              <w:overflowPunct/>
              <w:bidi w:val="0"/>
              <w:spacing w:line="317" w:lineRule="auto"/>
              <w:ind w:left="0" w:leftChars="0" w:firstLine="0" w:firstLineChars="0"/>
              <w:jc w:val="both"/>
              <w:rPr>
                <w:rFonts w:hint="eastAsia" w:ascii="Times New Roman" w:hAnsi="Times New Roman" w:eastAsia="仿宋" w:cs="Times New Roman"/>
                <w:color w:val="auto"/>
                <w:sz w:val="28"/>
                <w:szCs w:val="28"/>
                <w:lang w:eastAsia="zh-CN"/>
              </w:rPr>
            </w:pPr>
            <w:r>
              <w:rPr>
                <w:rFonts w:hint="eastAsia" w:cs="Times New Roman"/>
                <w:color w:val="auto"/>
                <w:sz w:val="28"/>
                <w:szCs w:val="28"/>
                <w:lang w:val="en-US" w:eastAsia="zh-CN"/>
              </w:rPr>
              <w:t>2.1培养方案（6分）</w:t>
            </w:r>
          </w:p>
        </w:tc>
        <w:tc>
          <w:tcPr>
            <w:tcW w:w="1183" w:type="dxa"/>
            <w:tcBorders>
              <w:top w:val="single" w:color="auto" w:sz="4" w:space="0"/>
              <w:left w:val="single" w:color="auto" w:sz="4" w:space="0"/>
              <w:bottom w:val="single" w:color="auto" w:sz="4" w:space="0"/>
              <w:right w:val="single" w:color="auto" w:sz="4" w:space="0"/>
            </w:tcBorders>
          </w:tcPr>
          <w:p w14:paraId="6AE37C27">
            <w:pPr>
              <w:pageBreakBefore w:val="0"/>
              <w:kinsoku/>
              <w:wordWrap/>
              <w:overflowPunct/>
              <w:bidi w:val="0"/>
              <w:spacing w:line="317" w:lineRule="auto"/>
              <w:jc w:val="center"/>
              <w:rPr>
                <w:rFonts w:hint="eastAsia" w:ascii="Times New Roman" w:hAnsi="Times New Roman" w:eastAsia="仿宋" w:cs="Times New Roman"/>
                <w:color w:val="auto"/>
                <w:sz w:val="28"/>
                <w:szCs w:val="28"/>
                <w:lang w:eastAsia="zh-CN"/>
              </w:rPr>
            </w:pPr>
          </w:p>
        </w:tc>
        <w:tc>
          <w:tcPr>
            <w:tcW w:w="3158" w:type="dxa"/>
            <w:tcBorders>
              <w:top w:val="single" w:color="auto" w:sz="4" w:space="0"/>
              <w:left w:val="single" w:color="auto" w:sz="4" w:space="0"/>
              <w:bottom w:val="single" w:color="auto" w:sz="4" w:space="0"/>
              <w:right w:val="single" w:color="auto" w:sz="4" w:space="0"/>
            </w:tcBorders>
          </w:tcPr>
          <w:p w14:paraId="7D43A6E6">
            <w:pPr>
              <w:pageBreakBefore w:val="0"/>
              <w:kinsoku/>
              <w:wordWrap/>
              <w:overflowPunct/>
              <w:bidi w:val="0"/>
              <w:spacing w:line="317" w:lineRule="auto"/>
              <w:jc w:val="center"/>
              <w:rPr>
                <w:rFonts w:hint="eastAsia" w:ascii="Times New Roman" w:hAnsi="Times New Roman" w:eastAsia="仿宋" w:cs="Times New Roman"/>
                <w:color w:val="auto"/>
                <w:sz w:val="28"/>
                <w:szCs w:val="28"/>
                <w:lang w:eastAsia="zh-CN"/>
              </w:rPr>
            </w:pPr>
          </w:p>
        </w:tc>
      </w:tr>
      <w:tr w14:paraId="3B6CF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802" w:type="dxa"/>
            <w:vMerge w:val="continue"/>
            <w:tcBorders>
              <w:right w:val="single" w:color="auto" w:sz="4" w:space="0"/>
            </w:tcBorders>
          </w:tcPr>
          <w:p w14:paraId="6B208904">
            <w:pPr>
              <w:pageBreakBefore w:val="0"/>
              <w:kinsoku/>
              <w:wordWrap/>
              <w:overflowPunct/>
              <w:bidi w:val="0"/>
              <w:spacing w:line="317" w:lineRule="auto"/>
              <w:jc w:val="center"/>
              <w:rPr>
                <w:color w:val="auto"/>
              </w:rPr>
            </w:pPr>
          </w:p>
        </w:tc>
        <w:tc>
          <w:tcPr>
            <w:tcW w:w="2762" w:type="dxa"/>
            <w:tcBorders>
              <w:top w:val="single" w:color="auto" w:sz="4" w:space="0"/>
              <w:left w:val="single" w:color="auto" w:sz="4" w:space="0"/>
              <w:bottom w:val="single" w:color="auto" w:sz="4" w:space="0"/>
              <w:right w:val="single" w:color="auto" w:sz="4" w:space="0"/>
            </w:tcBorders>
          </w:tcPr>
          <w:p w14:paraId="1C3BB53A">
            <w:pPr>
              <w:pageBreakBefore w:val="0"/>
              <w:kinsoku/>
              <w:wordWrap/>
              <w:overflowPunct/>
              <w:bidi w:val="0"/>
              <w:spacing w:line="317" w:lineRule="auto"/>
              <w:ind w:left="0" w:leftChars="0" w:firstLine="0" w:firstLineChars="0"/>
              <w:jc w:val="both"/>
              <w:rPr>
                <w:rFonts w:hint="default"/>
                <w:color w:val="auto"/>
                <w:lang w:val="en-US" w:eastAsia="zh-CN"/>
              </w:rPr>
            </w:pPr>
            <w:r>
              <w:rPr>
                <w:rFonts w:hint="eastAsia"/>
                <w:color w:val="auto"/>
                <w:lang w:val="en-US" w:eastAsia="zh-CN"/>
              </w:rPr>
              <w:t>2.2专业建设（6分）</w:t>
            </w:r>
          </w:p>
        </w:tc>
        <w:tc>
          <w:tcPr>
            <w:tcW w:w="1183" w:type="dxa"/>
            <w:tcBorders>
              <w:top w:val="single" w:color="auto" w:sz="4" w:space="0"/>
              <w:left w:val="single" w:color="auto" w:sz="4" w:space="0"/>
              <w:bottom w:val="single" w:color="auto" w:sz="4" w:space="0"/>
              <w:right w:val="single" w:color="auto" w:sz="4" w:space="0"/>
            </w:tcBorders>
          </w:tcPr>
          <w:p w14:paraId="183B86A2">
            <w:pPr>
              <w:pageBreakBefore w:val="0"/>
              <w:kinsoku/>
              <w:wordWrap/>
              <w:overflowPunct/>
              <w:bidi w:val="0"/>
              <w:spacing w:line="317" w:lineRule="auto"/>
              <w:jc w:val="center"/>
              <w:rPr>
                <w:rFonts w:hint="default"/>
                <w:color w:val="auto"/>
                <w:lang w:val="en-US" w:eastAsia="zh-CN"/>
              </w:rPr>
            </w:pPr>
          </w:p>
        </w:tc>
        <w:tc>
          <w:tcPr>
            <w:tcW w:w="3158" w:type="dxa"/>
            <w:tcBorders>
              <w:top w:val="single" w:color="auto" w:sz="4" w:space="0"/>
              <w:left w:val="single" w:color="auto" w:sz="4" w:space="0"/>
              <w:bottom w:val="single" w:color="auto" w:sz="4" w:space="0"/>
              <w:right w:val="single" w:color="auto" w:sz="4" w:space="0"/>
            </w:tcBorders>
          </w:tcPr>
          <w:p w14:paraId="33035810">
            <w:pPr>
              <w:pageBreakBefore w:val="0"/>
              <w:kinsoku/>
              <w:wordWrap/>
              <w:overflowPunct/>
              <w:bidi w:val="0"/>
              <w:spacing w:line="317" w:lineRule="auto"/>
              <w:jc w:val="center"/>
              <w:rPr>
                <w:rFonts w:hint="default"/>
                <w:color w:val="auto"/>
                <w:lang w:val="en-US" w:eastAsia="zh-CN"/>
              </w:rPr>
            </w:pPr>
          </w:p>
        </w:tc>
      </w:tr>
      <w:tr w14:paraId="562AE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802" w:type="dxa"/>
            <w:vMerge w:val="continue"/>
            <w:tcBorders>
              <w:right w:val="single" w:color="auto" w:sz="4" w:space="0"/>
            </w:tcBorders>
          </w:tcPr>
          <w:p w14:paraId="4BCA4BB0">
            <w:pPr>
              <w:pageBreakBefore w:val="0"/>
              <w:kinsoku/>
              <w:wordWrap/>
              <w:overflowPunct/>
              <w:bidi w:val="0"/>
              <w:spacing w:line="317" w:lineRule="auto"/>
              <w:jc w:val="center"/>
              <w:rPr>
                <w:rFonts w:hint="default"/>
                <w:color w:val="auto"/>
                <w:lang w:val="en-US" w:eastAsia="zh-CN"/>
              </w:rPr>
            </w:pPr>
          </w:p>
        </w:tc>
        <w:tc>
          <w:tcPr>
            <w:tcW w:w="2762" w:type="dxa"/>
            <w:tcBorders>
              <w:top w:val="single" w:color="auto" w:sz="4" w:space="0"/>
              <w:left w:val="single" w:color="auto" w:sz="4" w:space="0"/>
              <w:bottom w:val="single" w:color="auto" w:sz="4" w:space="0"/>
              <w:right w:val="single" w:color="auto" w:sz="4" w:space="0"/>
            </w:tcBorders>
          </w:tcPr>
          <w:p w14:paraId="1FC49341">
            <w:pPr>
              <w:pageBreakBefore w:val="0"/>
              <w:kinsoku/>
              <w:wordWrap/>
              <w:overflowPunct/>
              <w:bidi w:val="0"/>
              <w:spacing w:line="317" w:lineRule="auto"/>
              <w:ind w:left="0" w:leftChars="0" w:firstLine="0" w:firstLineChars="0"/>
              <w:jc w:val="both"/>
              <w:rPr>
                <w:rFonts w:hint="default"/>
                <w:color w:val="auto"/>
                <w:lang w:val="en-US" w:eastAsia="zh-CN"/>
              </w:rPr>
            </w:pPr>
            <w:r>
              <w:rPr>
                <w:rFonts w:hint="eastAsia"/>
                <w:color w:val="auto"/>
                <w:lang w:val="en-US" w:eastAsia="zh-CN"/>
              </w:rPr>
              <w:t>2.3实践教学（6分）</w:t>
            </w:r>
          </w:p>
        </w:tc>
        <w:tc>
          <w:tcPr>
            <w:tcW w:w="1183" w:type="dxa"/>
            <w:tcBorders>
              <w:top w:val="single" w:color="auto" w:sz="4" w:space="0"/>
              <w:left w:val="single" w:color="auto" w:sz="4" w:space="0"/>
              <w:bottom w:val="single" w:color="auto" w:sz="4" w:space="0"/>
              <w:right w:val="single" w:color="auto" w:sz="4" w:space="0"/>
            </w:tcBorders>
          </w:tcPr>
          <w:p w14:paraId="0AF5E5F3">
            <w:pPr>
              <w:pageBreakBefore w:val="0"/>
              <w:kinsoku/>
              <w:wordWrap/>
              <w:overflowPunct/>
              <w:bidi w:val="0"/>
              <w:spacing w:line="317" w:lineRule="auto"/>
              <w:jc w:val="center"/>
              <w:rPr>
                <w:rFonts w:hint="default"/>
                <w:color w:val="auto"/>
                <w:lang w:val="en-US" w:eastAsia="zh-CN"/>
              </w:rPr>
            </w:pPr>
          </w:p>
        </w:tc>
        <w:tc>
          <w:tcPr>
            <w:tcW w:w="3158" w:type="dxa"/>
            <w:tcBorders>
              <w:top w:val="single" w:color="auto" w:sz="4" w:space="0"/>
              <w:left w:val="single" w:color="auto" w:sz="4" w:space="0"/>
              <w:bottom w:val="single" w:color="auto" w:sz="4" w:space="0"/>
              <w:right w:val="single" w:color="auto" w:sz="4" w:space="0"/>
            </w:tcBorders>
          </w:tcPr>
          <w:p w14:paraId="25F8EFE7">
            <w:pPr>
              <w:pageBreakBefore w:val="0"/>
              <w:kinsoku/>
              <w:wordWrap/>
              <w:overflowPunct/>
              <w:bidi w:val="0"/>
              <w:spacing w:line="317" w:lineRule="auto"/>
              <w:jc w:val="center"/>
              <w:rPr>
                <w:rFonts w:hint="default"/>
                <w:color w:val="auto"/>
                <w:lang w:val="en-US" w:eastAsia="zh-CN"/>
              </w:rPr>
            </w:pPr>
          </w:p>
        </w:tc>
      </w:tr>
      <w:tr w14:paraId="087F7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802" w:type="dxa"/>
            <w:vMerge w:val="continue"/>
            <w:tcBorders>
              <w:right w:val="single" w:color="auto" w:sz="4" w:space="0"/>
            </w:tcBorders>
          </w:tcPr>
          <w:p w14:paraId="4FCC92DA">
            <w:pPr>
              <w:pageBreakBefore w:val="0"/>
              <w:kinsoku/>
              <w:wordWrap/>
              <w:overflowPunct/>
              <w:bidi w:val="0"/>
              <w:spacing w:line="317" w:lineRule="auto"/>
              <w:jc w:val="center"/>
              <w:rPr>
                <w:color w:val="auto"/>
              </w:rPr>
            </w:pPr>
          </w:p>
        </w:tc>
        <w:tc>
          <w:tcPr>
            <w:tcW w:w="2762" w:type="dxa"/>
            <w:tcBorders>
              <w:top w:val="single" w:color="auto" w:sz="4" w:space="0"/>
              <w:left w:val="single" w:color="auto" w:sz="4" w:space="0"/>
              <w:bottom w:val="single" w:color="auto" w:sz="4" w:space="0"/>
              <w:right w:val="single" w:color="auto" w:sz="4" w:space="0"/>
            </w:tcBorders>
          </w:tcPr>
          <w:p w14:paraId="38266711">
            <w:pPr>
              <w:pageBreakBefore w:val="0"/>
              <w:kinsoku/>
              <w:wordWrap/>
              <w:overflowPunct/>
              <w:bidi w:val="0"/>
              <w:spacing w:line="317" w:lineRule="auto"/>
              <w:ind w:left="0" w:leftChars="0" w:firstLine="0" w:firstLineChars="0"/>
              <w:jc w:val="both"/>
              <w:rPr>
                <w:rFonts w:hint="default"/>
                <w:color w:val="auto"/>
                <w:lang w:val="en-US" w:eastAsia="zh-CN"/>
              </w:rPr>
            </w:pPr>
            <w:r>
              <w:rPr>
                <w:rFonts w:hint="eastAsia"/>
                <w:color w:val="auto"/>
                <w:lang w:val="en-US" w:eastAsia="zh-CN"/>
              </w:rPr>
              <w:t>2.4课堂教学（6分）</w:t>
            </w:r>
          </w:p>
        </w:tc>
        <w:tc>
          <w:tcPr>
            <w:tcW w:w="1183" w:type="dxa"/>
            <w:tcBorders>
              <w:top w:val="single" w:color="auto" w:sz="4" w:space="0"/>
              <w:left w:val="single" w:color="auto" w:sz="4" w:space="0"/>
              <w:bottom w:val="single" w:color="auto" w:sz="4" w:space="0"/>
              <w:right w:val="single" w:color="auto" w:sz="4" w:space="0"/>
            </w:tcBorders>
          </w:tcPr>
          <w:p w14:paraId="67A84F02">
            <w:pPr>
              <w:pageBreakBefore w:val="0"/>
              <w:kinsoku/>
              <w:wordWrap/>
              <w:overflowPunct/>
              <w:bidi w:val="0"/>
              <w:spacing w:line="317" w:lineRule="auto"/>
              <w:jc w:val="center"/>
              <w:rPr>
                <w:rFonts w:hint="eastAsia"/>
                <w:color w:val="auto"/>
                <w:lang w:val="en-US" w:eastAsia="zh-CN"/>
              </w:rPr>
            </w:pPr>
          </w:p>
        </w:tc>
        <w:tc>
          <w:tcPr>
            <w:tcW w:w="3158" w:type="dxa"/>
            <w:tcBorders>
              <w:top w:val="single" w:color="auto" w:sz="4" w:space="0"/>
              <w:left w:val="single" w:color="auto" w:sz="4" w:space="0"/>
              <w:bottom w:val="single" w:color="auto" w:sz="4" w:space="0"/>
              <w:right w:val="single" w:color="auto" w:sz="4" w:space="0"/>
            </w:tcBorders>
          </w:tcPr>
          <w:p w14:paraId="63E8A52C">
            <w:pPr>
              <w:pageBreakBefore w:val="0"/>
              <w:kinsoku/>
              <w:wordWrap/>
              <w:overflowPunct/>
              <w:bidi w:val="0"/>
              <w:spacing w:line="317" w:lineRule="auto"/>
              <w:jc w:val="center"/>
              <w:rPr>
                <w:rFonts w:hint="eastAsia"/>
                <w:color w:val="auto"/>
                <w:lang w:val="en-US" w:eastAsia="zh-CN"/>
              </w:rPr>
            </w:pPr>
          </w:p>
        </w:tc>
      </w:tr>
      <w:tr w14:paraId="3FCDB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802" w:type="dxa"/>
            <w:vMerge w:val="continue"/>
            <w:tcBorders>
              <w:right w:val="single" w:color="auto" w:sz="4" w:space="0"/>
            </w:tcBorders>
          </w:tcPr>
          <w:p w14:paraId="4598684A">
            <w:pPr>
              <w:pageBreakBefore w:val="0"/>
              <w:kinsoku/>
              <w:wordWrap/>
              <w:overflowPunct/>
              <w:bidi w:val="0"/>
              <w:spacing w:line="317" w:lineRule="auto"/>
              <w:jc w:val="center"/>
              <w:rPr>
                <w:rFonts w:hint="eastAsia"/>
                <w:color w:val="auto"/>
                <w:lang w:val="en-US" w:eastAsia="zh-CN"/>
              </w:rPr>
            </w:pPr>
          </w:p>
        </w:tc>
        <w:tc>
          <w:tcPr>
            <w:tcW w:w="2762" w:type="dxa"/>
            <w:tcBorders>
              <w:top w:val="single" w:color="auto" w:sz="4" w:space="0"/>
              <w:left w:val="single" w:color="auto" w:sz="4" w:space="0"/>
              <w:bottom w:val="single" w:color="auto" w:sz="4" w:space="0"/>
              <w:right w:val="single" w:color="auto" w:sz="4" w:space="0"/>
            </w:tcBorders>
          </w:tcPr>
          <w:p w14:paraId="44872B30">
            <w:pPr>
              <w:pageBreakBefore w:val="0"/>
              <w:kinsoku/>
              <w:wordWrap/>
              <w:overflowPunct/>
              <w:bidi w:val="0"/>
              <w:spacing w:line="317" w:lineRule="auto"/>
              <w:ind w:left="0" w:leftChars="0" w:firstLine="0" w:firstLineChars="0"/>
              <w:jc w:val="both"/>
              <w:rPr>
                <w:rFonts w:hint="default"/>
                <w:color w:val="auto"/>
                <w:lang w:val="en-US" w:eastAsia="zh-CN"/>
              </w:rPr>
            </w:pPr>
            <w:r>
              <w:rPr>
                <w:rFonts w:hint="eastAsia"/>
                <w:color w:val="auto"/>
                <w:lang w:val="en-US" w:eastAsia="zh-CN"/>
              </w:rPr>
              <w:t>2.5卓越培养（6分）</w:t>
            </w:r>
          </w:p>
        </w:tc>
        <w:tc>
          <w:tcPr>
            <w:tcW w:w="1183" w:type="dxa"/>
            <w:tcBorders>
              <w:top w:val="single" w:color="auto" w:sz="4" w:space="0"/>
              <w:left w:val="single" w:color="auto" w:sz="4" w:space="0"/>
              <w:bottom w:val="single" w:color="auto" w:sz="4" w:space="0"/>
              <w:right w:val="single" w:color="auto" w:sz="4" w:space="0"/>
            </w:tcBorders>
          </w:tcPr>
          <w:p w14:paraId="59A4C017">
            <w:pPr>
              <w:pageBreakBefore w:val="0"/>
              <w:kinsoku/>
              <w:wordWrap/>
              <w:overflowPunct/>
              <w:bidi w:val="0"/>
              <w:spacing w:line="317" w:lineRule="auto"/>
              <w:jc w:val="center"/>
              <w:rPr>
                <w:rFonts w:hint="eastAsia"/>
                <w:color w:val="auto"/>
                <w:lang w:val="en-US" w:eastAsia="zh-CN"/>
              </w:rPr>
            </w:pPr>
          </w:p>
        </w:tc>
        <w:tc>
          <w:tcPr>
            <w:tcW w:w="3158" w:type="dxa"/>
            <w:tcBorders>
              <w:top w:val="single" w:color="auto" w:sz="4" w:space="0"/>
              <w:left w:val="single" w:color="auto" w:sz="4" w:space="0"/>
              <w:bottom w:val="single" w:color="auto" w:sz="4" w:space="0"/>
              <w:right w:val="single" w:color="auto" w:sz="4" w:space="0"/>
            </w:tcBorders>
          </w:tcPr>
          <w:p w14:paraId="514E1D1A">
            <w:pPr>
              <w:pageBreakBefore w:val="0"/>
              <w:kinsoku/>
              <w:wordWrap/>
              <w:overflowPunct/>
              <w:bidi w:val="0"/>
              <w:spacing w:line="317" w:lineRule="auto"/>
              <w:jc w:val="center"/>
              <w:rPr>
                <w:rFonts w:hint="eastAsia"/>
                <w:color w:val="auto"/>
                <w:lang w:val="en-US" w:eastAsia="zh-CN"/>
              </w:rPr>
            </w:pPr>
          </w:p>
        </w:tc>
      </w:tr>
      <w:tr w14:paraId="219DD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802" w:type="dxa"/>
            <w:vMerge w:val="continue"/>
            <w:tcBorders>
              <w:right w:val="single" w:color="auto" w:sz="4" w:space="0"/>
            </w:tcBorders>
          </w:tcPr>
          <w:p w14:paraId="05DC012C">
            <w:pPr>
              <w:pageBreakBefore w:val="0"/>
              <w:kinsoku/>
              <w:wordWrap/>
              <w:overflowPunct/>
              <w:bidi w:val="0"/>
              <w:spacing w:line="317" w:lineRule="auto"/>
              <w:jc w:val="center"/>
              <w:rPr>
                <w:color w:val="auto"/>
              </w:rPr>
            </w:pPr>
          </w:p>
        </w:tc>
        <w:tc>
          <w:tcPr>
            <w:tcW w:w="2762" w:type="dxa"/>
            <w:tcBorders>
              <w:top w:val="single" w:color="auto" w:sz="4" w:space="0"/>
              <w:left w:val="single" w:color="auto" w:sz="4" w:space="0"/>
              <w:bottom w:val="single" w:color="auto" w:sz="4" w:space="0"/>
              <w:right w:val="single" w:color="auto" w:sz="4" w:space="0"/>
            </w:tcBorders>
          </w:tcPr>
          <w:p w14:paraId="32C813EC">
            <w:pPr>
              <w:pageBreakBefore w:val="0"/>
              <w:kinsoku/>
              <w:wordWrap/>
              <w:overflowPunct/>
              <w:bidi w:val="0"/>
              <w:spacing w:line="317" w:lineRule="auto"/>
              <w:ind w:left="0" w:leftChars="0" w:firstLine="0" w:firstLineChars="0"/>
              <w:jc w:val="both"/>
              <w:rPr>
                <w:rFonts w:hint="default"/>
                <w:color w:val="auto"/>
                <w:lang w:val="en-US" w:eastAsia="zh-CN"/>
              </w:rPr>
            </w:pPr>
            <w:r>
              <w:rPr>
                <w:rFonts w:hint="eastAsia"/>
                <w:color w:val="auto"/>
                <w:lang w:val="en-US" w:eastAsia="zh-CN"/>
              </w:rPr>
              <w:t>2.6创新创业教育（5分）</w:t>
            </w:r>
          </w:p>
        </w:tc>
        <w:tc>
          <w:tcPr>
            <w:tcW w:w="1183" w:type="dxa"/>
            <w:tcBorders>
              <w:top w:val="single" w:color="auto" w:sz="4" w:space="0"/>
              <w:left w:val="single" w:color="auto" w:sz="4" w:space="0"/>
              <w:bottom w:val="single" w:color="auto" w:sz="4" w:space="0"/>
              <w:right w:val="single" w:color="auto" w:sz="4" w:space="0"/>
            </w:tcBorders>
          </w:tcPr>
          <w:p w14:paraId="6BA67F7A">
            <w:pPr>
              <w:pageBreakBefore w:val="0"/>
              <w:kinsoku/>
              <w:wordWrap/>
              <w:overflowPunct/>
              <w:bidi w:val="0"/>
              <w:spacing w:line="317" w:lineRule="auto"/>
              <w:jc w:val="center"/>
              <w:rPr>
                <w:rFonts w:hint="eastAsia"/>
                <w:color w:val="auto"/>
                <w:lang w:val="en-US" w:eastAsia="zh-CN"/>
              </w:rPr>
            </w:pPr>
          </w:p>
        </w:tc>
        <w:tc>
          <w:tcPr>
            <w:tcW w:w="3158" w:type="dxa"/>
            <w:tcBorders>
              <w:top w:val="single" w:color="auto" w:sz="4" w:space="0"/>
              <w:left w:val="single" w:color="auto" w:sz="4" w:space="0"/>
              <w:bottom w:val="single" w:color="auto" w:sz="4" w:space="0"/>
              <w:right w:val="single" w:color="auto" w:sz="4" w:space="0"/>
            </w:tcBorders>
          </w:tcPr>
          <w:p w14:paraId="78B456AA">
            <w:pPr>
              <w:pageBreakBefore w:val="0"/>
              <w:kinsoku/>
              <w:wordWrap/>
              <w:overflowPunct/>
              <w:bidi w:val="0"/>
              <w:spacing w:line="317" w:lineRule="auto"/>
              <w:jc w:val="center"/>
              <w:rPr>
                <w:rFonts w:hint="eastAsia"/>
                <w:color w:val="auto"/>
                <w:lang w:val="en-US" w:eastAsia="zh-CN"/>
              </w:rPr>
            </w:pPr>
          </w:p>
        </w:tc>
      </w:tr>
      <w:tr w14:paraId="19E99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802" w:type="dxa"/>
            <w:vMerge w:val="restart"/>
          </w:tcPr>
          <w:p w14:paraId="38B295FA">
            <w:pPr>
              <w:pageBreakBefore w:val="0"/>
              <w:kinsoku/>
              <w:wordWrap/>
              <w:overflowPunct/>
              <w:bidi w:val="0"/>
              <w:spacing w:line="317" w:lineRule="auto"/>
              <w:ind w:left="0" w:leftChars="0" w:firstLine="0" w:firstLineChars="0"/>
              <w:jc w:val="both"/>
              <w:rPr>
                <w:rFonts w:hint="default" w:ascii="Times New Roman" w:hAnsi="Times New Roman" w:eastAsia="仿宋" w:cs="Times New Roman"/>
                <w:color w:val="auto"/>
                <w:sz w:val="28"/>
                <w:szCs w:val="28"/>
                <w:lang w:val="en-US" w:eastAsia="zh-CN"/>
              </w:rPr>
            </w:pPr>
            <w:r>
              <w:rPr>
                <w:rFonts w:hint="eastAsia" w:cs="Times New Roman"/>
                <w:color w:val="auto"/>
                <w:sz w:val="28"/>
                <w:szCs w:val="28"/>
                <w:lang w:val="en-US" w:eastAsia="zh-CN"/>
              </w:rPr>
              <w:t>3.教学资源与利用（5分）</w:t>
            </w:r>
          </w:p>
        </w:tc>
        <w:tc>
          <w:tcPr>
            <w:tcW w:w="2762" w:type="dxa"/>
            <w:tcBorders>
              <w:top w:val="single" w:color="auto" w:sz="4" w:space="0"/>
            </w:tcBorders>
          </w:tcPr>
          <w:p w14:paraId="0AA980DC">
            <w:pPr>
              <w:pageBreakBefore w:val="0"/>
              <w:kinsoku/>
              <w:wordWrap/>
              <w:overflowPunct/>
              <w:bidi w:val="0"/>
              <w:spacing w:line="317" w:lineRule="auto"/>
              <w:ind w:left="0" w:leftChars="0" w:firstLine="0" w:firstLineChars="0"/>
              <w:jc w:val="both"/>
              <w:rPr>
                <w:rFonts w:hint="default" w:ascii="Times New Roman" w:hAnsi="Times New Roman" w:eastAsia="仿宋" w:cs="Times New Roman"/>
                <w:color w:val="auto"/>
                <w:sz w:val="28"/>
                <w:szCs w:val="28"/>
                <w:lang w:val="en-US" w:eastAsia="zh-CN"/>
              </w:rPr>
            </w:pPr>
            <w:r>
              <w:rPr>
                <w:rFonts w:hint="eastAsia" w:cs="Times New Roman"/>
                <w:color w:val="auto"/>
                <w:sz w:val="28"/>
                <w:szCs w:val="28"/>
                <w:lang w:val="en-US" w:eastAsia="zh-CN"/>
              </w:rPr>
              <w:t>3.1设施条件（2分）</w:t>
            </w:r>
          </w:p>
        </w:tc>
        <w:tc>
          <w:tcPr>
            <w:tcW w:w="1183" w:type="dxa"/>
            <w:tcBorders>
              <w:top w:val="single" w:color="auto" w:sz="4" w:space="0"/>
            </w:tcBorders>
          </w:tcPr>
          <w:p w14:paraId="47B33940">
            <w:pPr>
              <w:pageBreakBefore w:val="0"/>
              <w:kinsoku/>
              <w:wordWrap/>
              <w:overflowPunct/>
              <w:bidi w:val="0"/>
              <w:spacing w:line="317" w:lineRule="auto"/>
              <w:jc w:val="center"/>
              <w:rPr>
                <w:rFonts w:hint="eastAsia" w:ascii="Times New Roman" w:hAnsi="Times New Roman" w:eastAsia="仿宋" w:cs="Times New Roman"/>
                <w:color w:val="auto"/>
                <w:sz w:val="28"/>
                <w:szCs w:val="28"/>
                <w:lang w:eastAsia="zh-CN"/>
              </w:rPr>
            </w:pPr>
          </w:p>
        </w:tc>
        <w:tc>
          <w:tcPr>
            <w:tcW w:w="3158" w:type="dxa"/>
            <w:tcBorders>
              <w:top w:val="single" w:color="auto" w:sz="4" w:space="0"/>
            </w:tcBorders>
          </w:tcPr>
          <w:p w14:paraId="4DDFFF84">
            <w:pPr>
              <w:pageBreakBefore w:val="0"/>
              <w:kinsoku/>
              <w:wordWrap/>
              <w:overflowPunct/>
              <w:bidi w:val="0"/>
              <w:spacing w:line="317" w:lineRule="auto"/>
              <w:jc w:val="center"/>
              <w:rPr>
                <w:rFonts w:hint="eastAsia" w:ascii="Times New Roman" w:hAnsi="Times New Roman" w:eastAsia="仿宋" w:cs="Times New Roman"/>
                <w:color w:val="auto"/>
                <w:sz w:val="28"/>
                <w:szCs w:val="28"/>
                <w:lang w:eastAsia="zh-CN"/>
              </w:rPr>
            </w:pPr>
          </w:p>
        </w:tc>
      </w:tr>
      <w:tr w14:paraId="70E5A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802" w:type="dxa"/>
            <w:vMerge w:val="continue"/>
          </w:tcPr>
          <w:p w14:paraId="53695EEC">
            <w:pPr>
              <w:pageBreakBefore w:val="0"/>
              <w:kinsoku/>
              <w:wordWrap/>
              <w:overflowPunct/>
              <w:bidi w:val="0"/>
              <w:spacing w:line="317" w:lineRule="auto"/>
              <w:jc w:val="center"/>
              <w:rPr>
                <w:color w:val="auto"/>
              </w:rPr>
            </w:pPr>
          </w:p>
        </w:tc>
        <w:tc>
          <w:tcPr>
            <w:tcW w:w="2762" w:type="dxa"/>
            <w:tcBorders>
              <w:top w:val="single" w:color="auto" w:sz="4" w:space="0"/>
            </w:tcBorders>
          </w:tcPr>
          <w:p w14:paraId="2B1AE171">
            <w:pPr>
              <w:pageBreakBefore w:val="0"/>
              <w:kinsoku/>
              <w:wordWrap/>
              <w:overflowPunct/>
              <w:bidi w:val="0"/>
              <w:spacing w:line="317" w:lineRule="auto"/>
              <w:ind w:left="0" w:leftChars="0" w:firstLine="0" w:firstLineChars="0"/>
              <w:jc w:val="both"/>
              <w:rPr>
                <w:rFonts w:hint="default" w:ascii="Times New Roman" w:hAnsi="Times New Roman" w:eastAsia="仿宋" w:cs="Times New Roman"/>
                <w:color w:val="auto"/>
                <w:sz w:val="28"/>
                <w:szCs w:val="28"/>
                <w:lang w:val="en-US" w:eastAsia="zh-CN"/>
              </w:rPr>
            </w:pPr>
            <w:r>
              <w:rPr>
                <w:rFonts w:hint="eastAsia" w:cs="Times New Roman"/>
                <w:color w:val="auto"/>
                <w:sz w:val="28"/>
                <w:szCs w:val="28"/>
                <w:lang w:val="en-US" w:eastAsia="zh-CN"/>
              </w:rPr>
              <w:t>3.2资源建设（3分）</w:t>
            </w:r>
          </w:p>
        </w:tc>
        <w:tc>
          <w:tcPr>
            <w:tcW w:w="1183" w:type="dxa"/>
            <w:tcBorders>
              <w:top w:val="single" w:color="auto" w:sz="4" w:space="0"/>
            </w:tcBorders>
          </w:tcPr>
          <w:p w14:paraId="43CA2120">
            <w:pPr>
              <w:pageBreakBefore w:val="0"/>
              <w:kinsoku/>
              <w:wordWrap/>
              <w:overflowPunct/>
              <w:bidi w:val="0"/>
              <w:spacing w:line="317" w:lineRule="auto"/>
              <w:jc w:val="center"/>
              <w:rPr>
                <w:rFonts w:hint="eastAsia" w:ascii="Times New Roman" w:hAnsi="Times New Roman" w:eastAsia="仿宋" w:cs="Times New Roman"/>
                <w:color w:val="auto"/>
                <w:sz w:val="28"/>
                <w:szCs w:val="28"/>
                <w:lang w:eastAsia="zh-CN"/>
              </w:rPr>
            </w:pPr>
          </w:p>
        </w:tc>
        <w:tc>
          <w:tcPr>
            <w:tcW w:w="3158" w:type="dxa"/>
            <w:tcBorders>
              <w:top w:val="single" w:color="auto" w:sz="4" w:space="0"/>
            </w:tcBorders>
          </w:tcPr>
          <w:p w14:paraId="0B14602F">
            <w:pPr>
              <w:pageBreakBefore w:val="0"/>
              <w:kinsoku/>
              <w:wordWrap/>
              <w:overflowPunct/>
              <w:bidi w:val="0"/>
              <w:spacing w:line="317" w:lineRule="auto"/>
              <w:jc w:val="center"/>
              <w:rPr>
                <w:rFonts w:hint="eastAsia" w:ascii="Times New Roman" w:hAnsi="Times New Roman" w:eastAsia="仿宋" w:cs="Times New Roman"/>
                <w:color w:val="auto"/>
                <w:sz w:val="28"/>
                <w:szCs w:val="28"/>
                <w:lang w:eastAsia="zh-CN"/>
              </w:rPr>
            </w:pPr>
          </w:p>
        </w:tc>
      </w:tr>
      <w:tr w14:paraId="60362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802" w:type="dxa"/>
            <w:vMerge w:val="restart"/>
          </w:tcPr>
          <w:p w14:paraId="544409F6">
            <w:pPr>
              <w:pageBreakBefore w:val="0"/>
              <w:kinsoku/>
              <w:wordWrap/>
              <w:overflowPunct/>
              <w:bidi w:val="0"/>
              <w:spacing w:line="317" w:lineRule="auto"/>
              <w:ind w:left="0" w:leftChars="0" w:firstLine="0" w:firstLineChars="0"/>
              <w:jc w:val="center"/>
              <w:rPr>
                <w:rFonts w:hint="default" w:ascii="Times New Roman" w:hAnsi="Times New Roman" w:eastAsia="仿宋" w:cs="Times New Roman"/>
                <w:color w:val="auto"/>
                <w:sz w:val="28"/>
                <w:szCs w:val="28"/>
                <w:lang w:val="en-US" w:eastAsia="zh-CN"/>
              </w:rPr>
            </w:pPr>
            <w:r>
              <w:rPr>
                <w:rFonts w:hint="eastAsia" w:cs="Times New Roman"/>
                <w:color w:val="auto"/>
                <w:sz w:val="28"/>
                <w:szCs w:val="28"/>
                <w:lang w:val="en-US" w:eastAsia="zh-CN"/>
              </w:rPr>
              <w:t>4.教师队伍（15分）</w:t>
            </w:r>
          </w:p>
        </w:tc>
        <w:tc>
          <w:tcPr>
            <w:tcW w:w="2762" w:type="dxa"/>
          </w:tcPr>
          <w:p w14:paraId="401D16CD">
            <w:pPr>
              <w:pageBreakBefore w:val="0"/>
              <w:kinsoku/>
              <w:wordWrap/>
              <w:overflowPunct/>
              <w:bidi w:val="0"/>
              <w:spacing w:line="317" w:lineRule="auto"/>
              <w:ind w:left="0" w:leftChars="0" w:firstLine="0" w:firstLineChars="0"/>
              <w:jc w:val="both"/>
              <w:rPr>
                <w:rFonts w:hint="default" w:ascii="Times New Roman" w:hAnsi="Times New Roman" w:eastAsia="仿宋" w:cs="Times New Roman"/>
                <w:color w:val="auto"/>
                <w:sz w:val="28"/>
                <w:szCs w:val="28"/>
                <w:lang w:val="en-US" w:eastAsia="zh-CN"/>
              </w:rPr>
            </w:pPr>
            <w:r>
              <w:rPr>
                <w:rFonts w:hint="eastAsia" w:cs="Times New Roman"/>
                <w:color w:val="auto"/>
                <w:sz w:val="28"/>
                <w:szCs w:val="28"/>
                <w:lang w:val="en-US" w:eastAsia="zh-CN"/>
              </w:rPr>
              <w:t>4.1师德师风（3分）</w:t>
            </w:r>
          </w:p>
        </w:tc>
        <w:tc>
          <w:tcPr>
            <w:tcW w:w="1183" w:type="dxa"/>
          </w:tcPr>
          <w:p w14:paraId="103623C9">
            <w:pPr>
              <w:pageBreakBefore w:val="0"/>
              <w:kinsoku/>
              <w:wordWrap/>
              <w:overflowPunct/>
              <w:bidi w:val="0"/>
              <w:spacing w:line="317" w:lineRule="auto"/>
              <w:jc w:val="center"/>
              <w:rPr>
                <w:rFonts w:hint="eastAsia" w:ascii="Times New Roman" w:hAnsi="Times New Roman" w:eastAsia="仿宋" w:cs="Times New Roman"/>
                <w:color w:val="auto"/>
                <w:sz w:val="28"/>
                <w:szCs w:val="28"/>
                <w:lang w:eastAsia="zh-CN"/>
              </w:rPr>
            </w:pPr>
          </w:p>
        </w:tc>
        <w:tc>
          <w:tcPr>
            <w:tcW w:w="3158" w:type="dxa"/>
          </w:tcPr>
          <w:p w14:paraId="3E349558">
            <w:pPr>
              <w:pageBreakBefore w:val="0"/>
              <w:kinsoku/>
              <w:wordWrap/>
              <w:overflowPunct/>
              <w:bidi w:val="0"/>
              <w:spacing w:line="317" w:lineRule="auto"/>
              <w:jc w:val="center"/>
              <w:rPr>
                <w:rFonts w:hint="eastAsia" w:ascii="Times New Roman" w:hAnsi="Times New Roman" w:eastAsia="仿宋" w:cs="Times New Roman"/>
                <w:color w:val="auto"/>
                <w:sz w:val="28"/>
                <w:szCs w:val="28"/>
                <w:lang w:eastAsia="zh-CN"/>
              </w:rPr>
            </w:pPr>
          </w:p>
        </w:tc>
      </w:tr>
      <w:tr w14:paraId="58F61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802" w:type="dxa"/>
            <w:vMerge w:val="continue"/>
          </w:tcPr>
          <w:p w14:paraId="2EC93C6B">
            <w:pPr>
              <w:pageBreakBefore w:val="0"/>
              <w:kinsoku/>
              <w:wordWrap/>
              <w:overflowPunct/>
              <w:bidi w:val="0"/>
              <w:spacing w:line="317" w:lineRule="auto"/>
              <w:jc w:val="center"/>
              <w:rPr>
                <w:color w:val="auto"/>
              </w:rPr>
            </w:pPr>
          </w:p>
        </w:tc>
        <w:tc>
          <w:tcPr>
            <w:tcW w:w="2762" w:type="dxa"/>
          </w:tcPr>
          <w:p w14:paraId="46B8E123">
            <w:pPr>
              <w:pageBreakBefore w:val="0"/>
              <w:kinsoku/>
              <w:wordWrap/>
              <w:overflowPunct/>
              <w:bidi w:val="0"/>
              <w:spacing w:line="317" w:lineRule="auto"/>
              <w:ind w:left="0" w:leftChars="0" w:firstLine="0" w:firstLineChars="0"/>
              <w:jc w:val="both"/>
              <w:rPr>
                <w:rFonts w:hint="default" w:ascii="Times New Roman" w:hAnsi="Times New Roman" w:eastAsia="仿宋" w:cs="Times New Roman"/>
                <w:color w:val="auto"/>
                <w:sz w:val="28"/>
                <w:szCs w:val="28"/>
                <w:lang w:val="en-US" w:eastAsia="zh-CN"/>
              </w:rPr>
            </w:pPr>
            <w:r>
              <w:rPr>
                <w:rFonts w:hint="eastAsia" w:cs="Times New Roman"/>
                <w:color w:val="auto"/>
                <w:sz w:val="28"/>
                <w:szCs w:val="28"/>
                <w:lang w:val="en-US" w:eastAsia="zh-CN"/>
              </w:rPr>
              <w:t>4.2教学能力（4分）</w:t>
            </w:r>
          </w:p>
        </w:tc>
        <w:tc>
          <w:tcPr>
            <w:tcW w:w="1183" w:type="dxa"/>
          </w:tcPr>
          <w:p w14:paraId="69F69620">
            <w:pPr>
              <w:pageBreakBefore w:val="0"/>
              <w:kinsoku/>
              <w:wordWrap/>
              <w:overflowPunct/>
              <w:bidi w:val="0"/>
              <w:spacing w:line="317" w:lineRule="auto"/>
              <w:jc w:val="center"/>
              <w:rPr>
                <w:rFonts w:hint="eastAsia" w:ascii="Times New Roman" w:hAnsi="Times New Roman" w:eastAsia="仿宋" w:cs="Times New Roman"/>
                <w:color w:val="auto"/>
                <w:sz w:val="28"/>
                <w:szCs w:val="28"/>
                <w:lang w:val="zh-CN" w:eastAsia="zh-CN"/>
              </w:rPr>
            </w:pPr>
          </w:p>
        </w:tc>
        <w:tc>
          <w:tcPr>
            <w:tcW w:w="3158" w:type="dxa"/>
          </w:tcPr>
          <w:p w14:paraId="35D0AD28">
            <w:pPr>
              <w:pageBreakBefore w:val="0"/>
              <w:kinsoku/>
              <w:wordWrap/>
              <w:overflowPunct/>
              <w:bidi w:val="0"/>
              <w:spacing w:line="317" w:lineRule="auto"/>
              <w:jc w:val="center"/>
              <w:rPr>
                <w:rFonts w:hint="eastAsia" w:ascii="Times New Roman" w:hAnsi="Times New Roman" w:eastAsia="仿宋" w:cs="Times New Roman"/>
                <w:color w:val="auto"/>
                <w:sz w:val="28"/>
                <w:szCs w:val="28"/>
                <w:lang w:val="zh-CN" w:eastAsia="zh-CN"/>
              </w:rPr>
            </w:pPr>
          </w:p>
        </w:tc>
      </w:tr>
      <w:tr w14:paraId="12D11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802" w:type="dxa"/>
            <w:vMerge w:val="continue"/>
          </w:tcPr>
          <w:p w14:paraId="15CF9A38">
            <w:pPr>
              <w:pageBreakBefore w:val="0"/>
              <w:kinsoku/>
              <w:wordWrap/>
              <w:overflowPunct/>
              <w:bidi w:val="0"/>
              <w:spacing w:line="317" w:lineRule="auto"/>
              <w:jc w:val="center"/>
              <w:rPr>
                <w:rFonts w:hint="eastAsia" w:ascii="Times New Roman" w:hAnsi="Times New Roman" w:eastAsia="仿宋" w:cs="Times New Roman"/>
                <w:color w:val="auto"/>
                <w:sz w:val="28"/>
                <w:szCs w:val="28"/>
                <w:lang w:val="zh-CN" w:eastAsia="zh-CN"/>
              </w:rPr>
            </w:pPr>
          </w:p>
        </w:tc>
        <w:tc>
          <w:tcPr>
            <w:tcW w:w="2762" w:type="dxa"/>
          </w:tcPr>
          <w:p w14:paraId="170B1CC0">
            <w:pPr>
              <w:pageBreakBefore w:val="0"/>
              <w:kinsoku/>
              <w:wordWrap/>
              <w:overflowPunct/>
              <w:bidi w:val="0"/>
              <w:spacing w:line="317" w:lineRule="auto"/>
              <w:ind w:left="0" w:leftChars="0" w:firstLine="0" w:firstLineChars="0"/>
              <w:jc w:val="both"/>
              <w:rPr>
                <w:rFonts w:hint="default" w:ascii="Times New Roman" w:hAnsi="Times New Roman" w:eastAsia="仿宋" w:cs="Times New Roman"/>
                <w:color w:val="auto"/>
                <w:sz w:val="28"/>
                <w:szCs w:val="28"/>
                <w:lang w:val="en-US" w:eastAsia="zh-CN"/>
              </w:rPr>
            </w:pPr>
            <w:r>
              <w:rPr>
                <w:rFonts w:hint="eastAsia" w:cs="Times New Roman"/>
                <w:color w:val="auto"/>
                <w:sz w:val="28"/>
                <w:szCs w:val="28"/>
                <w:lang w:val="en-US" w:eastAsia="zh-CN"/>
              </w:rPr>
              <w:t>4.3教学投入（4分）</w:t>
            </w:r>
          </w:p>
        </w:tc>
        <w:tc>
          <w:tcPr>
            <w:tcW w:w="1183" w:type="dxa"/>
          </w:tcPr>
          <w:p w14:paraId="24FC47B6">
            <w:pPr>
              <w:pageBreakBefore w:val="0"/>
              <w:kinsoku/>
              <w:wordWrap/>
              <w:overflowPunct/>
              <w:bidi w:val="0"/>
              <w:spacing w:line="317" w:lineRule="auto"/>
              <w:jc w:val="center"/>
              <w:rPr>
                <w:rFonts w:hint="eastAsia" w:ascii="Times New Roman" w:hAnsi="Times New Roman" w:eastAsia="仿宋" w:cs="Times New Roman"/>
                <w:color w:val="auto"/>
                <w:sz w:val="28"/>
                <w:szCs w:val="28"/>
                <w:lang w:val="zh-CN" w:eastAsia="zh-CN"/>
              </w:rPr>
            </w:pPr>
          </w:p>
        </w:tc>
        <w:tc>
          <w:tcPr>
            <w:tcW w:w="3158" w:type="dxa"/>
          </w:tcPr>
          <w:p w14:paraId="136A21B9">
            <w:pPr>
              <w:pageBreakBefore w:val="0"/>
              <w:kinsoku/>
              <w:wordWrap/>
              <w:overflowPunct/>
              <w:bidi w:val="0"/>
              <w:spacing w:line="317" w:lineRule="auto"/>
              <w:jc w:val="center"/>
              <w:rPr>
                <w:rFonts w:hint="eastAsia" w:ascii="Times New Roman" w:hAnsi="Times New Roman" w:eastAsia="仿宋" w:cs="Times New Roman"/>
                <w:color w:val="auto"/>
                <w:sz w:val="28"/>
                <w:szCs w:val="28"/>
                <w:lang w:val="zh-CN" w:eastAsia="zh-CN"/>
              </w:rPr>
            </w:pPr>
          </w:p>
        </w:tc>
      </w:tr>
      <w:tr w14:paraId="08D21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802" w:type="dxa"/>
            <w:vMerge w:val="continue"/>
          </w:tcPr>
          <w:p w14:paraId="72F55977">
            <w:pPr>
              <w:pageBreakBefore w:val="0"/>
              <w:kinsoku/>
              <w:wordWrap/>
              <w:overflowPunct/>
              <w:bidi w:val="0"/>
              <w:spacing w:line="317" w:lineRule="auto"/>
              <w:jc w:val="center"/>
              <w:rPr>
                <w:rFonts w:hint="eastAsia" w:ascii="Times New Roman" w:hAnsi="Times New Roman" w:eastAsia="仿宋" w:cs="Times New Roman"/>
                <w:color w:val="auto"/>
                <w:sz w:val="28"/>
                <w:szCs w:val="28"/>
                <w:lang w:val="zh-CN" w:eastAsia="zh-CN"/>
              </w:rPr>
            </w:pPr>
          </w:p>
        </w:tc>
        <w:tc>
          <w:tcPr>
            <w:tcW w:w="2762" w:type="dxa"/>
          </w:tcPr>
          <w:p w14:paraId="5388E29B">
            <w:pPr>
              <w:pageBreakBefore w:val="0"/>
              <w:kinsoku/>
              <w:wordWrap/>
              <w:overflowPunct/>
              <w:bidi w:val="0"/>
              <w:spacing w:line="317" w:lineRule="auto"/>
              <w:ind w:left="0" w:leftChars="0" w:firstLine="0" w:firstLineChars="0"/>
              <w:jc w:val="both"/>
              <w:rPr>
                <w:rFonts w:hint="default" w:ascii="Times New Roman" w:hAnsi="Times New Roman" w:eastAsia="仿宋" w:cs="Times New Roman"/>
                <w:color w:val="auto"/>
                <w:sz w:val="28"/>
                <w:szCs w:val="28"/>
                <w:lang w:val="en-US" w:eastAsia="zh-CN"/>
              </w:rPr>
            </w:pPr>
            <w:r>
              <w:rPr>
                <w:rFonts w:hint="eastAsia" w:cs="Times New Roman"/>
                <w:color w:val="auto"/>
                <w:sz w:val="28"/>
                <w:szCs w:val="28"/>
                <w:lang w:val="en-US" w:eastAsia="zh-CN"/>
              </w:rPr>
              <w:t>4.4教师发展（4分）</w:t>
            </w:r>
          </w:p>
        </w:tc>
        <w:tc>
          <w:tcPr>
            <w:tcW w:w="1183" w:type="dxa"/>
          </w:tcPr>
          <w:p w14:paraId="3D9EEEC6">
            <w:pPr>
              <w:pageBreakBefore w:val="0"/>
              <w:kinsoku/>
              <w:wordWrap/>
              <w:overflowPunct/>
              <w:bidi w:val="0"/>
              <w:spacing w:line="317" w:lineRule="auto"/>
              <w:jc w:val="center"/>
              <w:rPr>
                <w:rFonts w:hint="eastAsia" w:ascii="Times New Roman" w:hAnsi="Times New Roman" w:eastAsia="仿宋" w:cs="Times New Roman"/>
                <w:color w:val="auto"/>
                <w:sz w:val="28"/>
                <w:szCs w:val="28"/>
                <w:lang w:val="zh-CN" w:eastAsia="zh-CN"/>
              </w:rPr>
            </w:pPr>
          </w:p>
        </w:tc>
        <w:tc>
          <w:tcPr>
            <w:tcW w:w="3158" w:type="dxa"/>
          </w:tcPr>
          <w:p w14:paraId="5A5B90AE">
            <w:pPr>
              <w:pageBreakBefore w:val="0"/>
              <w:kinsoku/>
              <w:wordWrap/>
              <w:overflowPunct/>
              <w:bidi w:val="0"/>
              <w:spacing w:line="317" w:lineRule="auto"/>
              <w:jc w:val="center"/>
              <w:rPr>
                <w:rFonts w:hint="eastAsia" w:ascii="Times New Roman" w:hAnsi="Times New Roman" w:eastAsia="仿宋" w:cs="Times New Roman"/>
                <w:color w:val="auto"/>
                <w:sz w:val="28"/>
                <w:szCs w:val="28"/>
                <w:lang w:val="zh-CN" w:eastAsia="zh-CN"/>
              </w:rPr>
            </w:pPr>
          </w:p>
        </w:tc>
      </w:tr>
      <w:tr w14:paraId="173C8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802" w:type="dxa"/>
            <w:vMerge w:val="restart"/>
          </w:tcPr>
          <w:p w14:paraId="325F2AE9">
            <w:pPr>
              <w:pageBreakBefore w:val="0"/>
              <w:kinsoku/>
              <w:wordWrap/>
              <w:overflowPunct/>
              <w:bidi w:val="0"/>
              <w:spacing w:line="317" w:lineRule="auto"/>
              <w:ind w:left="0" w:leftChars="0" w:firstLine="0" w:firstLineChars="0"/>
              <w:jc w:val="both"/>
              <w:rPr>
                <w:rFonts w:hint="default" w:ascii="Times New Roman" w:hAnsi="Times New Roman" w:eastAsia="仿宋" w:cs="Times New Roman"/>
                <w:color w:val="auto"/>
                <w:sz w:val="28"/>
                <w:szCs w:val="28"/>
                <w:lang w:val="en-US" w:eastAsia="zh-CN"/>
              </w:rPr>
            </w:pPr>
            <w:r>
              <w:rPr>
                <w:rFonts w:hint="eastAsia" w:cs="Times New Roman"/>
                <w:color w:val="auto"/>
                <w:sz w:val="28"/>
                <w:szCs w:val="28"/>
                <w:lang w:val="en-US" w:eastAsia="zh-CN"/>
              </w:rPr>
              <w:t>5.学生发展（15分）</w:t>
            </w:r>
          </w:p>
        </w:tc>
        <w:tc>
          <w:tcPr>
            <w:tcW w:w="2762" w:type="dxa"/>
          </w:tcPr>
          <w:p w14:paraId="113490D1">
            <w:pPr>
              <w:pageBreakBefore w:val="0"/>
              <w:kinsoku/>
              <w:wordWrap/>
              <w:overflowPunct/>
              <w:bidi w:val="0"/>
              <w:spacing w:line="317" w:lineRule="auto"/>
              <w:ind w:left="0" w:leftChars="0" w:firstLine="0" w:firstLineChars="0"/>
              <w:jc w:val="both"/>
              <w:rPr>
                <w:rFonts w:hint="default" w:ascii="Times New Roman" w:hAnsi="Times New Roman" w:eastAsia="仿宋" w:cs="Times New Roman"/>
                <w:color w:val="auto"/>
                <w:sz w:val="28"/>
                <w:szCs w:val="28"/>
                <w:lang w:val="en-US" w:eastAsia="zh-CN"/>
              </w:rPr>
            </w:pPr>
            <w:r>
              <w:rPr>
                <w:rFonts w:hint="eastAsia" w:cs="Times New Roman"/>
                <w:color w:val="auto"/>
                <w:sz w:val="28"/>
                <w:szCs w:val="28"/>
                <w:lang w:val="en-US" w:eastAsia="zh-CN"/>
              </w:rPr>
              <w:t>5.1理想信念（3分）</w:t>
            </w:r>
          </w:p>
        </w:tc>
        <w:tc>
          <w:tcPr>
            <w:tcW w:w="1183" w:type="dxa"/>
          </w:tcPr>
          <w:p w14:paraId="297D4079">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c>
          <w:tcPr>
            <w:tcW w:w="3158" w:type="dxa"/>
          </w:tcPr>
          <w:p w14:paraId="0F3428AD">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r>
      <w:tr w14:paraId="0B6DA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802" w:type="dxa"/>
            <w:vMerge w:val="continue"/>
          </w:tcPr>
          <w:p w14:paraId="5170F199">
            <w:pPr>
              <w:pageBreakBefore w:val="0"/>
              <w:kinsoku/>
              <w:wordWrap/>
              <w:overflowPunct/>
              <w:bidi w:val="0"/>
              <w:spacing w:line="317" w:lineRule="auto"/>
              <w:jc w:val="center"/>
              <w:rPr>
                <w:color w:val="auto"/>
              </w:rPr>
            </w:pPr>
          </w:p>
        </w:tc>
        <w:tc>
          <w:tcPr>
            <w:tcW w:w="2762" w:type="dxa"/>
          </w:tcPr>
          <w:p w14:paraId="33240DBB">
            <w:pPr>
              <w:pageBreakBefore w:val="0"/>
              <w:kinsoku/>
              <w:wordWrap/>
              <w:overflowPunct/>
              <w:bidi w:val="0"/>
              <w:spacing w:line="317" w:lineRule="auto"/>
              <w:ind w:left="0" w:leftChars="0" w:firstLine="0" w:firstLineChars="0"/>
              <w:jc w:val="both"/>
              <w:rPr>
                <w:rFonts w:hint="default" w:ascii="Times New Roman" w:hAnsi="Times New Roman" w:eastAsia="仿宋" w:cs="Times New Roman"/>
                <w:color w:val="auto"/>
                <w:sz w:val="28"/>
                <w:szCs w:val="28"/>
                <w:lang w:val="en-US" w:eastAsia="zh-CN"/>
              </w:rPr>
            </w:pPr>
            <w:r>
              <w:rPr>
                <w:rFonts w:hint="eastAsia" w:cs="Times New Roman"/>
                <w:color w:val="auto"/>
                <w:sz w:val="28"/>
                <w:szCs w:val="28"/>
                <w:lang w:val="en-US" w:eastAsia="zh-CN"/>
              </w:rPr>
              <w:t>5.2学业成绩及综合素质（6分）</w:t>
            </w:r>
          </w:p>
        </w:tc>
        <w:tc>
          <w:tcPr>
            <w:tcW w:w="1183" w:type="dxa"/>
          </w:tcPr>
          <w:p w14:paraId="4EF4FFF9">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c>
          <w:tcPr>
            <w:tcW w:w="3158" w:type="dxa"/>
          </w:tcPr>
          <w:p w14:paraId="195F0A82">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r>
      <w:tr w14:paraId="7D99C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802" w:type="dxa"/>
            <w:vMerge w:val="continue"/>
          </w:tcPr>
          <w:p w14:paraId="01C2A576">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c>
          <w:tcPr>
            <w:tcW w:w="2762" w:type="dxa"/>
          </w:tcPr>
          <w:p w14:paraId="7E31732C">
            <w:pPr>
              <w:pageBreakBefore w:val="0"/>
              <w:kinsoku/>
              <w:wordWrap/>
              <w:overflowPunct/>
              <w:bidi w:val="0"/>
              <w:spacing w:line="317" w:lineRule="auto"/>
              <w:ind w:left="0" w:leftChars="0" w:firstLine="0" w:firstLineChars="0"/>
              <w:jc w:val="both"/>
              <w:rPr>
                <w:rFonts w:hint="default" w:ascii="Times New Roman" w:hAnsi="Times New Roman" w:eastAsia="仿宋" w:cs="Times New Roman"/>
                <w:color w:val="auto"/>
                <w:sz w:val="28"/>
                <w:szCs w:val="28"/>
                <w:lang w:val="en-US" w:eastAsia="zh-CN"/>
              </w:rPr>
            </w:pPr>
            <w:r>
              <w:rPr>
                <w:rFonts w:hint="eastAsia" w:cs="Times New Roman"/>
                <w:color w:val="auto"/>
                <w:sz w:val="28"/>
                <w:szCs w:val="28"/>
                <w:lang w:val="en-US" w:eastAsia="zh-CN"/>
              </w:rPr>
              <w:t>5.3国际视野（3分）</w:t>
            </w:r>
          </w:p>
        </w:tc>
        <w:tc>
          <w:tcPr>
            <w:tcW w:w="1183" w:type="dxa"/>
          </w:tcPr>
          <w:p w14:paraId="7889E704">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c>
          <w:tcPr>
            <w:tcW w:w="3158" w:type="dxa"/>
          </w:tcPr>
          <w:p w14:paraId="2EDA26AB">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r>
      <w:tr w14:paraId="1989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802" w:type="dxa"/>
            <w:vMerge w:val="continue"/>
          </w:tcPr>
          <w:p w14:paraId="7813A0DE">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c>
          <w:tcPr>
            <w:tcW w:w="2762" w:type="dxa"/>
          </w:tcPr>
          <w:p w14:paraId="06E3FF71">
            <w:pPr>
              <w:pageBreakBefore w:val="0"/>
              <w:kinsoku/>
              <w:wordWrap/>
              <w:overflowPunct/>
              <w:bidi w:val="0"/>
              <w:spacing w:line="317" w:lineRule="auto"/>
              <w:ind w:left="0" w:leftChars="0" w:firstLine="0" w:firstLineChars="0"/>
              <w:jc w:val="both"/>
              <w:rPr>
                <w:rFonts w:hint="default" w:ascii="Times New Roman" w:hAnsi="Times New Roman" w:eastAsia="仿宋" w:cs="Times New Roman"/>
                <w:color w:val="auto"/>
                <w:sz w:val="28"/>
                <w:szCs w:val="28"/>
                <w:lang w:val="en-US" w:eastAsia="zh-CN"/>
              </w:rPr>
            </w:pPr>
            <w:r>
              <w:rPr>
                <w:rFonts w:hint="eastAsia" w:cs="Times New Roman"/>
                <w:color w:val="auto"/>
                <w:sz w:val="28"/>
                <w:szCs w:val="28"/>
                <w:lang w:val="en-US" w:eastAsia="zh-CN"/>
              </w:rPr>
              <w:t>5.4支持服务（3分）</w:t>
            </w:r>
          </w:p>
        </w:tc>
        <w:tc>
          <w:tcPr>
            <w:tcW w:w="1183" w:type="dxa"/>
          </w:tcPr>
          <w:p w14:paraId="32DCD449">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c>
          <w:tcPr>
            <w:tcW w:w="3158" w:type="dxa"/>
          </w:tcPr>
          <w:p w14:paraId="19D938E2">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r>
      <w:tr w14:paraId="425B1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802" w:type="dxa"/>
            <w:vMerge w:val="restart"/>
          </w:tcPr>
          <w:p w14:paraId="4E37E043">
            <w:pPr>
              <w:pageBreakBefore w:val="0"/>
              <w:kinsoku/>
              <w:wordWrap/>
              <w:overflowPunct/>
              <w:bidi w:val="0"/>
              <w:spacing w:line="317" w:lineRule="auto"/>
              <w:ind w:left="0" w:leftChars="0" w:firstLine="0" w:firstLineChars="0"/>
              <w:jc w:val="both"/>
              <w:rPr>
                <w:rFonts w:hint="default" w:ascii="Times New Roman" w:hAnsi="Times New Roman" w:eastAsia="仿宋" w:cs="Times New Roman"/>
                <w:color w:val="auto"/>
                <w:sz w:val="28"/>
                <w:szCs w:val="28"/>
                <w:lang w:val="en-US" w:eastAsia="zh-CN"/>
              </w:rPr>
            </w:pPr>
            <w:r>
              <w:rPr>
                <w:rFonts w:hint="eastAsia" w:cs="Times New Roman"/>
                <w:color w:val="auto"/>
                <w:sz w:val="28"/>
                <w:szCs w:val="28"/>
                <w:lang w:val="en-US" w:eastAsia="zh-CN"/>
              </w:rPr>
              <w:t>6.质量保障（10分）</w:t>
            </w:r>
          </w:p>
        </w:tc>
        <w:tc>
          <w:tcPr>
            <w:tcW w:w="2762" w:type="dxa"/>
          </w:tcPr>
          <w:p w14:paraId="44150A63">
            <w:pPr>
              <w:pageBreakBefore w:val="0"/>
              <w:kinsoku/>
              <w:wordWrap/>
              <w:overflowPunct/>
              <w:bidi w:val="0"/>
              <w:spacing w:line="317" w:lineRule="auto"/>
              <w:ind w:left="0" w:leftChars="0" w:firstLine="0" w:firstLineChars="0"/>
              <w:jc w:val="both"/>
              <w:rPr>
                <w:rFonts w:hint="default" w:ascii="Times New Roman" w:hAnsi="Times New Roman" w:eastAsia="仿宋" w:cs="Times New Roman"/>
                <w:color w:val="auto"/>
                <w:sz w:val="28"/>
                <w:szCs w:val="28"/>
                <w:lang w:val="en-US" w:eastAsia="zh-CN"/>
              </w:rPr>
            </w:pPr>
            <w:r>
              <w:rPr>
                <w:rFonts w:hint="eastAsia" w:cs="Times New Roman"/>
                <w:color w:val="auto"/>
                <w:sz w:val="28"/>
                <w:szCs w:val="28"/>
                <w:lang w:val="en-US" w:eastAsia="zh-CN"/>
              </w:rPr>
              <w:t>6.1质量管理（5分）</w:t>
            </w:r>
          </w:p>
        </w:tc>
        <w:tc>
          <w:tcPr>
            <w:tcW w:w="1183" w:type="dxa"/>
          </w:tcPr>
          <w:p w14:paraId="1D7B43D1">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c>
          <w:tcPr>
            <w:tcW w:w="3158" w:type="dxa"/>
          </w:tcPr>
          <w:p w14:paraId="04EB6399">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r>
      <w:tr w14:paraId="5D871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802" w:type="dxa"/>
            <w:vMerge w:val="continue"/>
          </w:tcPr>
          <w:p w14:paraId="4774F6A2">
            <w:pPr>
              <w:pageBreakBefore w:val="0"/>
              <w:kinsoku/>
              <w:wordWrap/>
              <w:overflowPunct/>
              <w:bidi w:val="0"/>
              <w:spacing w:line="317" w:lineRule="auto"/>
              <w:jc w:val="center"/>
              <w:rPr>
                <w:color w:val="auto"/>
              </w:rPr>
            </w:pPr>
          </w:p>
        </w:tc>
        <w:tc>
          <w:tcPr>
            <w:tcW w:w="2762" w:type="dxa"/>
          </w:tcPr>
          <w:p w14:paraId="145B66E3">
            <w:pPr>
              <w:pageBreakBefore w:val="0"/>
              <w:kinsoku/>
              <w:wordWrap/>
              <w:overflowPunct/>
              <w:bidi w:val="0"/>
              <w:spacing w:line="317" w:lineRule="auto"/>
              <w:ind w:left="0" w:leftChars="0" w:firstLine="0" w:firstLineChars="0"/>
              <w:jc w:val="both"/>
              <w:rPr>
                <w:rFonts w:hint="default" w:ascii="Times New Roman" w:hAnsi="Times New Roman" w:eastAsia="仿宋" w:cs="Times New Roman"/>
                <w:color w:val="auto"/>
                <w:sz w:val="28"/>
                <w:szCs w:val="28"/>
                <w:lang w:val="en-US" w:eastAsia="zh-CN"/>
              </w:rPr>
            </w:pPr>
            <w:r>
              <w:rPr>
                <w:rFonts w:hint="eastAsia" w:cs="Times New Roman"/>
                <w:color w:val="auto"/>
                <w:sz w:val="28"/>
                <w:szCs w:val="28"/>
                <w:lang w:val="en-US" w:eastAsia="zh-CN"/>
              </w:rPr>
              <w:t>6.2质量改进（3分）</w:t>
            </w:r>
          </w:p>
        </w:tc>
        <w:tc>
          <w:tcPr>
            <w:tcW w:w="1183" w:type="dxa"/>
          </w:tcPr>
          <w:p w14:paraId="46A4F497">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c>
          <w:tcPr>
            <w:tcW w:w="3158" w:type="dxa"/>
          </w:tcPr>
          <w:p w14:paraId="7C698B62">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r>
      <w:tr w14:paraId="05021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6" w:hRule="atLeast"/>
          <w:jc w:val="center"/>
        </w:trPr>
        <w:tc>
          <w:tcPr>
            <w:tcW w:w="1802" w:type="dxa"/>
            <w:vMerge w:val="continue"/>
          </w:tcPr>
          <w:p w14:paraId="20738CC9">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c>
          <w:tcPr>
            <w:tcW w:w="2762" w:type="dxa"/>
          </w:tcPr>
          <w:p w14:paraId="5F60985A">
            <w:pPr>
              <w:pageBreakBefore w:val="0"/>
              <w:kinsoku/>
              <w:wordWrap/>
              <w:overflowPunct/>
              <w:bidi w:val="0"/>
              <w:spacing w:line="317" w:lineRule="auto"/>
              <w:ind w:left="0" w:leftChars="0" w:firstLine="0" w:firstLineChars="0"/>
              <w:jc w:val="both"/>
              <w:rPr>
                <w:rFonts w:hint="default" w:ascii="Times New Roman" w:hAnsi="Times New Roman" w:eastAsia="仿宋" w:cs="Times New Roman"/>
                <w:color w:val="auto"/>
                <w:sz w:val="28"/>
                <w:szCs w:val="28"/>
                <w:lang w:val="en-US" w:eastAsia="zh-CN"/>
              </w:rPr>
            </w:pPr>
            <w:r>
              <w:rPr>
                <w:rFonts w:hint="eastAsia" w:cs="Times New Roman"/>
                <w:color w:val="auto"/>
                <w:sz w:val="28"/>
                <w:szCs w:val="28"/>
                <w:lang w:val="en-US" w:eastAsia="zh-CN"/>
              </w:rPr>
              <w:t>6.3质量文化（2分）</w:t>
            </w:r>
          </w:p>
        </w:tc>
        <w:tc>
          <w:tcPr>
            <w:tcW w:w="1183" w:type="dxa"/>
          </w:tcPr>
          <w:p w14:paraId="46C375CA">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c>
          <w:tcPr>
            <w:tcW w:w="3158" w:type="dxa"/>
          </w:tcPr>
          <w:p w14:paraId="54BE1642">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r>
      <w:tr w14:paraId="6E4B2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1802" w:type="dxa"/>
            <w:vMerge w:val="restart"/>
          </w:tcPr>
          <w:p w14:paraId="6CB98ECD">
            <w:pPr>
              <w:pageBreakBefore w:val="0"/>
              <w:kinsoku/>
              <w:wordWrap/>
              <w:overflowPunct/>
              <w:bidi w:val="0"/>
              <w:spacing w:line="317" w:lineRule="auto"/>
              <w:ind w:left="0" w:leftChars="0" w:firstLine="0" w:firstLineChars="0"/>
              <w:jc w:val="center"/>
              <w:rPr>
                <w:rFonts w:hint="eastAsia" w:ascii="Times New Roman" w:hAnsi="Times New Roman" w:eastAsia="仿宋" w:cs="Times New Roman"/>
                <w:color w:val="auto"/>
                <w:sz w:val="28"/>
                <w:szCs w:val="28"/>
                <w:lang w:eastAsia="zh-CN"/>
              </w:rPr>
            </w:pPr>
            <w:r>
              <w:rPr>
                <w:rFonts w:hint="eastAsia" w:ascii="Times New Roman" w:hAnsi="Times New Roman" w:eastAsia="仿宋" w:cs="Times New Roman"/>
                <w:color w:val="auto"/>
                <w:sz w:val="28"/>
                <w:szCs w:val="28"/>
                <w:lang w:val="en-US" w:eastAsia="zh-CN"/>
              </w:rPr>
              <w:t>7.</w:t>
            </w:r>
            <w:r>
              <w:rPr>
                <w:rFonts w:hint="eastAsia" w:ascii="Times New Roman" w:hAnsi="Times New Roman" w:eastAsia="仿宋" w:cs="Times New Roman"/>
                <w:color w:val="auto"/>
                <w:sz w:val="28"/>
                <w:szCs w:val="28"/>
                <w:lang w:eastAsia="zh-CN"/>
              </w:rPr>
              <w:t>教学成效</w:t>
            </w:r>
          </w:p>
          <w:p w14:paraId="4D2CDA68">
            <w:pPr>
              <w:pageBreakBefore w:val="0"/>
              <w:kinsoku/>
              <w:wordWrap/>
              <w:overflowPunct/>
              <w:bidi w:val="0"/>
              <w:spacing w:line="317" w:lineRule="auto"/>
              <w:ind w:left="0" w:leftChars="0" w:firstLine="0" w:firstLineChars="0"/>
              <w:jc w:val="both"/>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（10分）</w:t>
            </w:r>
          </w:p>
        </w:tc>
        <w:tc>
          <w:tcPr>
            <w:tcW w:w="2762" w:type="dxa"/>
          </w:tcPr>
          <w:p w14:paraId="585872E5">
            <w:pPr>
              <w:pageBreakBefore w:val="0"/>
              <w:kinsoku/>
              <w:wordWrap/>
              <w:overflowPunct/>
              <w:bidi w:val="0"/>
              <w:spacing w:line="317" w:lineRule="auto"/>
              <w:ind w:left="0" w:leftChars="0" w:firstLine="0" w:firstLineChars="0"/>
              <w:jc w:val="both"/>
              <w:rPr>
                <w:rFonts w:hint="default" w:ascii="Times New Roman" w:hAnsi="Times New Roman" w:eastAsia="仿宋" w:cs="Times New Roman"/>
                <w:color w:val="auto"/>
                <w:sz w:val="28"/>
                <w:szCs w:val="28"/>
                <w:lang w:val="en-US" w:eastAsia="zh-CN"/>
              </w:rPr>
            </w:pPr>
            <w:r>
              <w:rPr>
                <w:rFonts w:hint="eastAsia" w:cs="Times New Roman"/>
                <w:color w:val="auto"/>
                <w:sz w:val="28"/>
                <w:szCs w:val="28"/>
                <w:lang w:val="en-US" w:eastAsia="zh-CN"/>
              </w:rPr>
              <w:t>7.1达成度（2分）</w:t>
            </w:r>
          </w:p>
        </w:tc>
        <w:tc>
          <w:tcPr>
            <w:tcW w:w="1183" w:type="dxa"/>
          </w:tcPr>
          <w:p w14:paraId="5DBCB046">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c>
          <w:tcPr>
            <w:tcW w:w="3158" w:type="dxa"/>
          </w:tcPr>
          <w:p w14:paraId="3AE687C0">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r>
      <w:tr w14:paraId="46BFF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1802" w:type="dxa"/>
            <w:vMerge w:val="continue"/>
          </w:tcPr>
          <w:p w14:paraId="3C1F8EEF">
            <w:pPr>
              <w:pageBreakBefore w:val="0"/>
              <w:kinsoku/>
              <w:wordWrap/>
              <w:overflowPunct/>
              <w:bidi w:val="0"/>
              <w:spacing w:line="317" w:lineRule="auto"/>
              <w:jc w:val="center"/>
              <w:rPr>
                <w:color w:val="auto"/>
              </w:rPr>
            </w:pPr>
          </w:p>
        </w:tc>
        <w:tc>
          <w:tcPr>
            <w:tcW w:w="2762" w:type="dxa"/>
          </w:tcPr>
          <w:p w14:paraId="66576D19">
            <w:pPr>
              <w:pageBreakBefore w:val="0"/>
              <w:kinsoku/>
              <w:wordWrap/>
              <w:overflowPunct/>
              <w:bidi w:val="0"/>
              <w:spacing w:line="317" w:lineRule="auto"/>
              <w:ind w:left="0" w:leftChars="0" w:firstLine="0" w:firstLineChars="0"/>
              <w:jc w:val="both"/>
              <w:rPr>
                <w:rFonts w:hint="default" w:ascii="Times New Roman" w:hAnsi="Times New Roman" w:eastAsia="仿宋" w:cs="Times New Roman"/>
                <w:color w:val="auto"/>
                <w:sz w:val="28"/>
                <w:szCs w:val="28"/>
                <w:lang w:val="en-US" w:eastAsia="zh-CN"/>
              </w:rPr>
            </w:pPr>
            <w:r>
              <w:rPr>
                <w:rFonts w:hint="eastAsia" w:cs="Times New Roman"/>
                <w:color w:val="auto"/>
                <w:sz w:val="28"/>
                <w:szCs w:val="28"/>
                <w:lang w:val="en-US" w:eastAsia="zh-CN"/>
              </w:rPr>
              <w:t>7.2适应度（2分）</w:t>
            </w:r>
          </w:p>
        </w:tc>
        <w:tc>
          <w:tcPr>
            <w:tcW w:w="1183" w:type="dxa"/>
          </w:tcPr>
          <w:p w14:paraId="0A9BA9A1">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c>
          <w:tcPr>
            <w:tcW w:w="3158" w:type="dxa"/>
          </w:tcPr>
          <w:p w14:paraId="6B7E08F6">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r>
      <w:tr w14:paraId="3A5C9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1802" w:type="dxa"/>
            <w:vMerge w:val="continue"/>
          </w:tcPr>
          <w:p w14:paraId="2E69C3CB">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c>
          <w:tcPr>
            <w:tcW w:w="2762" w:type="dxa"/>
          </w:tcPr>
          <w:p w14:paraId="77396DFF">
            <w:pPr>
              <w:pageBreakBefore w:val="0"/>
              <w:kinsoku/>
              <w:wordWrap/>
              <w:overflowPunct/>
              <w:bidi w:val="0"/>
              <w:spacing w:line="317" w:lineRule="auto"/>
              <w:ind w:left="0" w:leftChars="0" w:firstLine="0" w:firstLineChars="0"/>
              <w:jc w:val="both"/>
              <w:rPr>
                <w:rFonts w:hint="default" w:ascii="Times New Roman" w:hAnsi="Times New Roman" w:eastAsia="仿宋" w:cs="Times New Roman"/>
                <w:color w:val="auto"/>
                <w:sz w:val="28"/>
                <w:szCs w:val="28"/>
                <w:lang w:val="en-US" w:eastAsia="zh-CN"/>
              </w:rPr>
            </w:pPr>
            <w:r>
              <w:rPr>
                <w:rFonts w:hint="eastAsia" w:cs="Times New Roman"/>
                <w:color w:val="auto"/>
                <w:sz w:val="28"/>
                <w:szCs w:val="28"/>
                <w:lang w:val="en-US" w:eastAsia="zh-CN"/>
              </w:rPr>
              <w:t>7.3保障度（2分）</w:t>
            </w:r>
          </w:p>
        </w:tc>
        <w:tc>
          <w:tcPr>
            <w:tcW w:w="1183" w:type="dxa"/>
          </w:tcPr>
          <w:p w14:paraId="599D82EB">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c>
          <w:tcPr>
            <w:tcW w:w="3158" w:type="dxa"/>
          </w:tcPr>
          <w:p w14:paraId="0EF9D527">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r>
      <w:tr w14:paraId="228C9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1802" w:type="dxa"/>
            <w:vMerge w:val="continue"/>
          </w:tcPr>
          <w:p w14:paraId="35D521F3">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c>
          <w:tcPr>
            <w:tcW w:w="2762" w:type="dxa"/>
          </w:tcPr>
          <w:p w14:paraId="0CD63926">
            <w:pPr>
              <w:pageBreakBefore w:val="0"/>
              <w:kinsoku/>
              <w:wordWrap/>
              <w:overflowPunct/>
              <w:bidi w:val="0"/>
              <w:spacing w:line="317" w:lineRule="auto"/>
              <w:ind w:left="0" w:leftChars="0" w:firstLine="0" w:firstLineChars="0"/>
              <w:jc w:val="both"/>
              <w:rPr>
                <w:rFonts w:hint="default" w:ascii="Times New Roman" w:hAnsi="Times New Roman" w:eastAsia="仿宋" w:cs="Times New Roman"/>
                <w:color w:val="auto"/>
                <w:sz w:val="28"/>
                <w:szCs w:val="28"/>
                <w:lang w:val="en-US" w:eastAsia="zh-CN"/>
              </w:rPr>
            </w:pPr>
            <w:r>
              <w:rPr>
                <w:rFonts w:hint="eastAsia" w:cs="Times New Roman"/>
                <w:color w:val="auto"/>
                <w:sz w:val="28"/>
                <w:szCs w:val="28"/>
                <w:lang w:val="en-US" w:eastAsia="zh-CN"/>
              </w:rPr>
              <w:t>7.4有效度（2分）</w:t>
            </w:r>
          </w:p>
        </w:tc>
        <w:tc>
          <w:tcPr>
            <w:tcW w:w="1183" w:type="dxa"/>
          </w:tcPr>
          <w:p w14:paraId="6E58D31B">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c>
          <w:tcPr>
            <w:tcW w:w="3158" w:type="dxa"/>
          </w:tcPr>
          <w:p w14:paraId="5D088298">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r>
      <w:tr w14:paraId="0635C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9" w:hRule="atLeast"/>
          <w:jc w:val="center"/>
        </w:trPr>
        <w:tc>
          <w:tcPr>
            <w:tcW w:w="1802" w:type="dxa"/>
            <w:vMerge w:val="continue"/>
          </w:tcPr>
          <w:p w14:paraId="3162E70C">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c>
          <w:tcPr>
            <w:tcW w:w="2762" w:type="dxa"/>
          </w:tcPr>
          <w:p w14:paraId="2A7CC3C8">
            <w:pPr>
              <w:pageBreakBefore w:val="0"/>
              <w:kinsoku/>
              <w:wordWrap/>
              <w:overflowPunct/>
              <w:bidi w:val="0"/>
              <w:spacing w:line="317" w:lineRule="auto"/>
              <w:ind w:left="0" w:leftChars="0" w:firstLine="0" w:firstLineChars="0"/>
              <w:jc w:val="both"/>
              <w:rPr>
                <w:rFonts w:hint="default" w:ascii="Times New Roman" w:hAnsi="Times New Roman" w:eastAsia="仿宋" w:cs="Times New Roman"/>
                <w:color w:val="auto"/>
                <w:sz w:val="28"/>
                <w:szCs w:val="28"/>
                <w:lang w:val="en-US" w:eastAsia="zh-CN"/>
              </w:rPr>
            </w:pPr>
            <w:r>
              <w:rPr>
                <w:rFonts w:hint="eastAsia" w:cs="Times New Roman"/>
                <w:color w:val="auto"/>
                <w:sz w:val="28"/>
                <w:szCs w:val="28"/>
                <w:lang w:val="en-US" w:eastAsia="zh-CN"/>
              </w:rPr>
              <w:t>7.5满意度（2分）</w:t>
            </w:r>
          </w:p>
        </w:tc>
        <w:tc>
          <w:tcPr>
            <w:tcW w:w="1183" w:type="dxa"/>
          </w:tcPr>
          <w:p w14:paraId="17F9884B">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c>
          <w:tcPr>
            <w:tcW w:w="3158" w:type="dxa"/>
          </w:tcPr>
          <w:p w14:paraId="27EFA642">
            <w:pPr>
              <w:pageBreakBefore w:val="0"/>
              <w:kinsoku/>
              <w:wordWrap/>
              <w:overflowPunct/>
              <w:bidi w:val="0"/>
              <w:spacing w:line="317" w:lineRule="auto"/>
              <w:jc w:val="center"/>
              <w:rPr>
                <w:rFonts w:hint="eastAsia" w:ascii="Times New Roman" w:hAnsi="Times New Roman" w:eastAsia="仿宋" w:cs="Times New Roman"/>
                <w:color w:val="auto"/>
                <w:sz w:val="28"/>
                <w:szCs w:val="28"/>
                <w:lang w:val="en-US" w:eastAsia="zh-CN"/>
              </w:rPr>
            </w:pPr>
          </w:p>
        </w:tc>
      </w:tr>
      <w:tr w14:paraId="016B2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802" w:type="dxa"/>
          </w:tcPr>
          <w:p w14:paraId="3201913C">
            <w:pPr>
              <w:pageBreakBefore w:val="0"/>
              <w:kinsoku/>
              <w:wordWrap/>
              <w:overflowPunct/>
              <w:bidi w:val="0"/>
              <w:spacing w:line="317" w:lineRule="auto"/>
              <w:ind w:left="0" w:leftChars="0" w:firstLine="0" w:firstLineChars="0"/>
              <w:jc w:val="center"/>
              <w:rPr>
                <w:rFonts w:hint="default"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eastAsia="zh-CN"/>
              </w:rPr>
              <w:t>本科教育教学示范案例（</w:t>
            </w:r>
            <w:r>
              <w:rPr>
                <w:rFonts w:hint="eastAsia" w:ascii="Times New Roman" w:hAnsi="Times New Roman" w:eastAsia="仿宋" w:cs="Times New Roman"/>
                <w:color w:val="auto"/>
                <w:sz w:val="28"/>
                <w:szCs w:val="28"/>
                <w:lang w:val="en-US" w:eastAsia="zh-CN"/>
              </w:rPr>
              <w:t>10分）</w:t>
            </w:r>
          </w:p>
        </w:tc>
        <w:tc>
          <w:tcPr>
            <w:tcW w:w="2762" w:type="dxa"/>
            <w:shd w:val="clear" w:color="auto" w:fill="auto"/>
            <w:vAlign w:val="center"/>
          </w:tcPr>
          <w:p w14:paraId="4B593A29">
            <w:pPr>
              <w:pageBreakBefore w:val="0"/>
              <w:kinsoku/>
              <w:wordWrap/>
              <w:overflowPunct/>
              <w:bidi w:val="0"/>
              <w:spacing w:line="317" w:lineRule="auto"/>
              <w:jc w:val="center"/>
              <w:rPr>
                <w:rFonts w:hint="eastAsia" w:ascii="Times New Roman" w:hAnsi="Times New Roman" w:eastAsia="仿宋" w:cs="Times New Roman"/>
                <w:color w:val="auto"/>
                <w:sz w:val="28"/>
                <w:szCs w:val="28"/>
                <w:lang w:val="zh-CN" w:eastAsia="zh-CN"/>
              </w:rPr>
            </w:pPr>
          </w:p>
        </w:tc>
        <w:tc>
          <w:tcPr>
            <w:tcW w:w="1183" w:type="dxa"/>
            <w:shd w:val="clear" w:color="auto" w:fill="auto"/>
            <w:vAlign w:val="center"/>
          </w:tcPr>
          <w:p w14:paraId="57ABE6ED">
            <w:pPr>
              <w:pageBreakBefore w:val="0"/>
              <w:kinsoku/>
              <w:wordWrap/>
              <w:overflowPunct/>
              <w:bidi w:val="0"/>
              <w:spacing w:line="317" w:lineRule="auto"/>
              <w:jc w:val="center"/>
              <w:rPr>
                <w:rFonts w:hint="eastAsia" w:ascii="Times New Roman" w:hAnsi="Times New Roman" w:eastAsia="仿宋" w:cs="Times New Roman"/>
                <w:color w:val="auto"/>
                <w:sz w:val="28"/>
                <w:szCs w:val="28"/>
                <w:lang w:val="zh-CN" w:eastAsia="zh-CN"/>
              </w:rPr>
            </w:pPr>
          </w:p>
        </w:tc>
        <w:tc>
          <w:tcPr>
            <w:tcW w:w="3158" w:type="dxa"/>
          </w:tcPr>
          <w:p w14:paraId="47DC34DA">
            <w:pPr>
              <w:pageBreakBefore w:val="0"/>
              <w:kinsoku/>
              <w:wordWrap/>
              <w:overflowPunct/>
              <w:bidi w:val="0"/>
              <w:spacing w:line="317" w:lineRule="auto"/>
              <w:jc w:val="center"/>
              <w:rPr>
                <w:rFonts w:hint="eastAsia" w:ascii="Times New Roman" w:hAnsi="Times New Roman" w:eastAsia="仿宋" w:cs="Times New Roman"/>
                <w:color w:val="auto"/>
                <w:sz w:val="28"/>
                <w:szCs w:val="28"/>
                <w:lang w:eastAsia="zh-CN"/>
              </w:rPr>
            </w:pPr>
          </w:p>
        </w:tc>
      </w:tr>
      <w:tr w14:paraId="19AE8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802" w:type="dxa"/>
          </w:tcPr>
          <w:p w14:paraId="79EC880E">
            <w:pPr>
              <w:pageBreakBefore w:val="0"/>
              <w:kinsoku/>
              <w:wordWrap/>
              <w:overflowPunct/>
              <w:bidi w:val="0"/>
              <w:spacing w:line="317" w:lineRule="auto"/>
              <w:jc w:val="center"/>
              <w:rPr>
                <w:rFonts w:hint="eastAsia" w:ascii="Times New Roman" w:hAnsi="Times New Roman" w:eastAsia="仿宋" w:cs="Times New Roman"/>
                <w:color w:val="auto"/>
                <w:sz w:val="28"/>
                <w:szCs w:val="28"/>
                <w:lang w:eastAsia="zh-CN"/>
              </w:rPr>
            </w:pPr>
            <w:r>
              <w:rPr>
                <w:rFonts w:hint="eastAsia" w:ascii="Times New Roman" w:hAnsi="Times New Roman" w:eastAsia="仿宋" w:cs="Times New Roman"/>
                <w:color w:val="auto"/>
                <w:sz w:val="28"/>
                <w:szCs w:val="28"/>
                <w:lang w:eastAsia="zh-CN"/>
              </w:rPr>
              <w:t>合计</w:t>
            </w:r>
          </w:p>
        </w:tc>
        <w:tc>
          <w:tcPr>
            <w:tcW w:w="2762" w:type="dxa"/>
            <w:shd w:val="clear" w:color="auto" w:fill="auto"/>
            <w:vAlign w:val="center"/>
          </w:tcPr>
          <w:p w14:paraId="3C8038E4">
            <w:pPr>
              <w:pageBreakBefore w:val="0"/>
              <w:kinsoku/>
              <w:wordWrap/>
              <w:overflowPunct/>
              <w:bidi w:val="0"/>
              <w:spacing w:line="317" w:lineRule="auto"/>
              <w:jc w:val="center"/>
              <w:rPr>
                <w:rFonts w:hint="default"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110分</w:t>
            </w:r>
          </w:p>
        </w:tc>
        <w:tc>
          <w:tcPr>
            <w:tcW w:w="1183" w:type="dxa"/>
            <w:shd w:val="clear" w:color="auto" w:fill="auto"/>
            <w:vAlign w:val="center"/>
          </w:tcPr>
          <w:p w14:paraId="0F8CFD2F">
            <w:pPr>
              <w:pageBreakBefore w:val="0"/>
              <w:kinsoku/>
              <w:wordWrap/>
              <w:overflowPunct/>
              <w:bidi w:val="0"/>
              <w:spacing w:line="317" w:lineRule="auto"/>
              <w:jc w:val="center"/>
              <w:rPr>
                <w:rFonts w:hint="eastAsia" w:ascii="Times New Roman" w:hAnsi="Times New Roman" w:eastAsia="仿宋" w:cs="Times New Roman"/>
                <w:color w:val="auto"/>
                <w:sz w:val="28"/>
                <w:szCs w:val="28"/>
                <w:lang w:val="zh-CN" w:eastAsia="zh-CN"/>
              </w:rPr>
            </w:pPr>
          </w:p>
        </w:tc>
        <w:tc>
          <w:tcPr>
            <w:tcW w:w="3158" w:type="dxa"/>
          </w:tcPr>
          <w:p w14:paraId="3F885ED2">
            <w:pPr>
              <w:pageBreakBefore w:val="0"/>
              <w:kinsoku/>
              <w:wordWrap/>
              <w:overflowPunct/>
              <w:bidi w:val="0"/>
              <w:spacing w:line="317" w:lineRule="auto"/>
              <w:jc w:val="center"/>
              <w:rPr>
                <w:rFonts w:hint="eastAsia" w:ascii="Times New Roman" w:hAnsi="Times New Roman" w:eastAsia="仿宋" w:cs="Times New Roman"/>
                <w:color w:val="auto"/>
                <w:sz w:val="28"/>
                <w:szCs w:val="28"/>
                <w:lang w:eastAsia="zh-CN"/>
              </w:rPr>
            </w:pPr>
          </w:p>
        </w:tc>
      </w:tr>
    </w:tbl>
    <w:p w14:paraId="24AC2458">
      <w:pPr>
        <w:pageBreakBefore w:val="0"/>
        <w:kinsoku/>
        <w:wordWrap/>
        <w:overflowPunct/>
        <w:bidi w:val="0"/>
        <w:spacing w:line="317" w:lineRule="auto"/>
        <w:rPr>
          <w:rFonts w:ascii="Times New Roman" w:hAnsi="Times New Roman" w:cs="Times New Roman"/>
          <w:color w:val="auto"/>
        </w:rPr>
      </w:pPr>
    </w:p>
    <w:p w14:paraId="575BB1C3">
      <w:pPr>
        <w:pageBreakBefore w:val="0"/>
        <w:kinsoku/>
        <w:wordWrap/>
        <w:overflowPunct/>
        <w:bidi w:val="0"/>
        <w:spacing w:line="317" w:lineRule="auto"/>
        <w:rPr>
          <w:rFonts w:ascii="Times New Roman" w:hAnsi="Times New Roman" w:cs="Times New Roman"/>
          <w:color w:val="auto"/>
        </w:rPr>
      </w:pPr>
      <w:r>
        <w:rPr>
          <w:rFonts w:ascii="Times New Roman" w:hAnsi="Times New Roman" w:cs="Times New Roman"/>
          <w:color w:val="auto"/>
        </w:rPr>
        <w:br w:type="page"/>
      </w:r>
    </w:p>
    <w:p w14:paraId="0D6694BC">
      <w:pPr>
        <w:pStyle w:val="3"/>
        <w:pageBreakBefore w:val="0"/>
        <w:kinsoku/>
        <w:wordWrap/>
        <w:overflowPunct/>
        <w:bidi w:val="0"/>
        <w:spacing w:line="317" w:lineRule="auto"/>
        <w:ind w:left="0"/>
        <w:jc w:val="both"/>
        <w:rPr>
          <w:rFonts w:ascii="Times New Roman" w:hAnsi="Times New Roman" w:cs="Times New Roman"/>
          <w:color w:val="auto"/>
        </w:rPr>
      </w:pPr>
      <w:bookmarkStart w:id="194" w:name="_Toc740"/>
      <w:r>
        <w:rPr>
          <w:rFonts w:ascii="Times New Roman" w:hAnsi="Times New Roman" w:cs="Times New Roman"/>
          <w:color w:val="auto"/>
        </w:rPr>
        <w:t>附</w:t>
      </w:r>
      <w:r>
        <w:rPr>
          <w:rFonts w:hint="eastAsia" w:ascii="Times New Roman" w:hAnsi="Times New Roman" w:cs="Times New Roman"/>
          <w:color w:val="auto"/>
          <w:lang w:eastAsia="zh-CN"/>
        </w:rPr>
        <w:t>录</w:t>
      </w:r>
      <w:r>
        <w:rPr>
          <w:rFonts w:ascii="Times New Roman" w:hAnsi="Times New Roman" w:cs="Times New Roman"/>
          <w:color w:val="auto"/>
        </w:rPr>
        <w:t xml:space="preserve"> 2</w:t>
      </w:r>
      <w:bookmarkEnd w:id="194"/>
      <w:r>
        <w:rPr>
          <w:rFonts w:ascii="Times New Roman" w:hAnsi="Times New Roman" w:cs="Times New Roman"/>
          <w:color w:val="auto"/>
          <w:lang w:val="zh-CN" w:eastAsia="zh-CN"/>
        </w:rPr>
        <w:t>：</w:t>
      </w:r>
    </w:p>
    <w:p w14:paraId="076D5833">
      <w:pPr>
        <w:pStyle w:val="3"/>
        <w:pageBreakBefore w:val="0"/>
        <w:kinsoku/>
        <w:wordWrap/>
        <w:overflowPunct/>
        <w:bidi w:val="0"/>
        <w:spacing w:line="317" w:lineRule="auto"/>
        <w:ind w:left="0"/>
        <w:jc w:val="both"/>
        <w:rPr>
          <w:rFonts w:ascii="Times New Roman" w:hAnsi="Times New Roman" w:cs="Times New Roman"/>
          <w:color w:val="auto"/>
          <w:sz w:val="30"/>
          <w:szCs w:val="30"/>
        </w:rPr>
      </w:pPr>
      <w:bookmarkStart w:id="195" w:name="_Toc30063"/>
      <w:bookmarkStart w:id="196" w:name="_Toc9982"/>
      <w:r>
        <w:rPr>
          <w:rFonts w:ascii="Times New Roman" w:hAnsi="Times New Roman" w:cs="Times New Roman"/>
          <w:color w:val="auto"/>
          <w:sz w:val="30"/>
          <w:szCs w:val="30"/>
        </w:rPr>
        <w:t>《自评报告》数据与《本科教学状态数据分析报告》数据不一致的情况说明</w:t>
      </w:r>
      <w:bookmarkEnd w:id="195"/>
      <w:bookmarkEnd w:id="196"/>
    </w:p>
    <w:p w14:paraId="1F346151">
      <w:pPr>
        <w:rPr>
          <w:color w:val="auto"/>
        </w:rPr>
      </w:pPr>
    </w:p>
    <w:p w14:paraId="6F2AD1B3">
      <w:pPr>
        <w:pStyle w:val="3"/>
        <w:pageBreakBefore w:val="0"/>
        <w:kinsoku/>
        <w:wordWrap/>
        <w:overflowPunct/>
        <w:bidi w:val="0"/>
        <w:spacing w:line="317" w:lineRule="auto"/>
        <w:ind w:left="0"/>
        <w:jc w:val="both"/>
        <w:rPr>
          <w:rFonts w:ascii="Times New Roman" w:hAnsi="Times New Roman" w:cs="Times New Roman"/>
          <w:color w:val="auto"/>
          <w:lang w:val="zh-CN" w:eastAsia="zh-CN"/>
        </w:rPr>
      </w:pPr>
      <w:bookmarkStart w:id="197" w:name="_Toc17057"/>
      <w:r>
        <w:rPr>
          <w:rFonts w:ascii="Times New Roman" w:hAnsi="Times New Roman" w:cs="Times New Roman"/>
          <w:color w:val="auto"/>
          <w:lang w:val="zh-CN" w:eastAsia="zh-CN"/>
        </w:rPr>
        <w:t>附</w:t>
      </w:r>
      <w:r>
        <w:rPr>
          <w:rFonts w:hint="eastAsia" w:ascii="Times New Roman" w:hAnsi="Times New Roman" w:cs="Times New Roman"/>
          <w:color w:val="auto"/>
          <w:lang w:val="zh-CN" w:eastAsia="zh-CN"/>
        </w:rPr>
        <w:t>录</w:t>
      </w:r>
      <w:r>
        <w:rPr>
          <w:rFonts w:ascii="Times New Roman" w:hAnsi="Times New Roman" w:cs="Times New Roman"/>
          <w:color w:val="auto"/>
          <w:lang w:val="zh-CN" w:eastAsia="zh-CN"/>
        </w:rPr>
        <w:t xml:space="preserve"> 3：</w:t>
      </w:r>
      <w:bookmarkEnd w:id="197"/>
    </w:p>
    <w:p w14:paraId="71A8C864">
      <w:pPr>
        <w:pStyle w:val="3"/>
        <w:pageBreakBefore w:val="0"/>
        <w:kinsoku/>
        <w:wordWrap/>
        <w:overflowPunct/>
        <w:bidi w:val="0"/>
        <w:spacing w:line="317" w:lineRule="auto"/>
        <w:ind w:left="0" w:leftChars="0" w:firstLine="0" w:firstLineChars="0"/>
        <w:jc w:val="center"/>
        <w:rPr>
          <w:rFonts w:ascii="Times New Roman" w:hAnsi="Times New Roman" w:cs="Times New Roman"/>
          <w:color w:val="auto"/>
          <w:sz w:val="30"/>
          <w:szCs w:val="30"/>
        </w:rPr>
      </w:pPr>
      <w:bookmarkStart w:id="198" w:name="_Toc25554"/>
      <w:bookmarkStart w:id="199" w:name="_Toc27321"/>
      <w:r>
        <w:rPr>
          <w:rFonts w:hint="eastAsia" w:ascii="Times New Roman" w:hAnsi="Times New Roman" w:cs="Times New Roman"/>
          <w:color w:val="auto"/>
          <w:sz w:val="30"/>
          <w:szCs w:val="30"/>
          <w:lang w:val="zh-CN" w:eastAsia="zh-CN"/>
        </w:rPr>
        <w:t>主要支撑材料目录</w:t>
      </w:r>
      <w:bookmarkEnd w:id="0"/>
      <w:r>
        <w:rPr>
          <w:rFonts w:ascii="Times New Roman" w:hAnsi="Times New Roman" w:cs="Times New Roman"/>
          <w:color w:val="auto"/>
          <w:sz w:val="30"/>
          <w:szCs w:val="30"/>
        </w:rPr>
        <w:t>（参考格式）</w:t>
      </w:r>
      <w:bookmarkEnd w:id="198"/>
      <w:bookmarkEnd w:id="199"/>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8"/>
        <w:gridCol w:w="6747"/>
        <w:gridCol w:w="1080"/>
      </w:tblGrid>
      <w:tr w14:paraId="667B7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shd w:val="clear" w:color="auto" w:fill="auto"/>
            <w:vAlign w:val="center"/>
          </w:tcPr>
          <w:p w14:paraId="3F8AEF40">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center"/>
              <w:textAlignment w:val="auto"/>
              <w:rPr>
                <w:rFonts w:hint="eastAsia" w:ascii="Times New Roman" w:hAnsi="Times New Roman" w:eastAsia="仿宋" w:cs="Times New Roman"/>
                <w:b/>
                <w:bCs/>
                <w:color w:val="auto"/>
                <w:sz w:val="28"/>
                <w:szCs w:val="28"/>
                <w:lang w:val="zh-CN" w:eastAsia="zh-CN"/>
              </w:rPr>
            </w:pPr>
            <w:r>
              <w:rPr>
                <w:rFonts w:hint="eastAsia" w:ascii="Times New Roman" w:hAnsi="Times New Roman" w:eastAsia="仿宋" w:cs="Times New Roman"/>
                <w:b/>
                <w:bCs/>
                <w:color w:val="auto"/>
                <w:sz w:val="28"/>
                <w:szCs w:val="28"/>
                <w:lang w:eastAsia="zh-CN"/>
              </w:rPr>
              <w:t>一级指标</w:t>
            </w:r>
          </w:p>
        </w:tc>
        <w:tc>
          <w:tcPr>
            <w:tcW w:w="6747" w:type="dxa"/>
            <w:vAlign w:val="center"/>
          </w:tcPr>
          <w:p w14:paraId="3CE3E06B">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center"/>
              <w:textAlignment w:val="auto"/>
              <w:rPr>
                <w:rFonts w:hint="eastAsia" w:ascii="Times New Roman" w:hAnsi="Times New Roman" w:eastAsia="仿宋" w:cs="Times New Roman"/>
                <w:b/>
                <w:bCs/>
                <w:color w:val="auto"/>
                <w:sz w:val="28"/>
                <w:szCs w:val="28"/>
                <w:lang w:eastAsia="zh-CN"/>
              </w:rPr>
            </w:pPr>
            <w:r>
              <w:rPr>
                <w:rFonts w:hint="eastAsia" w:ascii="Times New Roman" w:hAnsi="Times New Roman" w:eastAsia="仿宋" w:cs="Times New Roman"/>
                <w:b/>
                <w:bCs/>
                <w:color w:val="auto"/>
                <w:sz w:val="28"/>
                <w:szCs w:val="28"/>
                <w:lang w:eastAsia="zh-CN"/>
              </w:rPr>
              <w:t>材料名称</w:t>
            </w:r>
          </w:p>
        </w:tc>
        <w:tc>
          <w:tcPr>
            <w:tcW w:w="1080" w:type="dxa"/>
            <w:vAlign w:val="center"/>
          </w:tcPr>
          <w:p w14:paraId="22CAF16B">
            <w:pPr>
              <w:keepNext w:val="0"/>
              <w:keepLines w:val="0"/>
              <w:pageBreakBefore w:val="0"/>
              <w:widowControl w:val="0"/>
              <w:kinsoku/>
              <w:wordWrap/>
              <w:overflowPunct/>
              <w:topLinePunct w:val="0"/>
              <w:autoSpaceDE w:val="0"/>
              <w:autoSpaceDN w:val="0"/>
              <w:bidi w:val="0"/>
              <w:adjustRightInd/>
              <w:snapToGrid/>
              <w:spacing w:line="312" w:lineRule="auto"/>
              <w:ind w:left="0" w:leftChars="0" w:firstLine="0" w:firstLineChars="0"/>
              <w:jc w:val="center"/>
              <w:textAlignment w:val="auto"/>
              <w:rPr>
                <w:rFonts w:hint="eastAsia" w:ascii="Times New Roman" w:hAnsi="Times New Roman" w:eastAsia="仿宋" w:cs="Times New Roman"/>
                <w:b/>
                <w:bCs/>
                <w:color w:val="auto"/>
                <w:sz w:val="28"/>
                <w:szCs w:val="28"/>
                <w:lang w:val="en-US" w:eastAsia="zh-CN"/>
              </w:rPr>
            </w:pPr>
            <w:r>
              <w:rPr>
                <w:rFonts w:hint="eastAsia" w:ascii="Times New Roman" w:hAnsi="Times New Roman" w:eastAsia="仿宋" w:cs="Times New Roman"/>
                <w:b/>
                <w:bCs/>
                <w:color w:val="auto"/>
                <w:sz w:val="28"/>
                <w:szCs w:val="28"/>
                <w:lang w:val="en-US" w:eastAsia="zh-CN"/>
              </w:rPr>
              <w:t>备注</w:t>
            </w:r>
          </w:p>
        </w:tc>
      </w:tr>
      <w:tr w14:paraId="76628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vMerge w:val="restart"/>
            <w:shd w:val="clear" w:color="auto" w:fill="auto"/>
            <w:vAlign w:val="center"/>
          </w:tcPr>
          <w:p w14:paraId="61A4E3AA">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center"/>
              <w:textAlignment w:val="auto"/>
              <w:rPr>
                <w:rFonts w:hint="eastAsia" w:ascii="Times New Roman" w:hAnsi="Times New Roman" w:eastAsia="仿宋" w:cs="Times New Roman"/>
                <w:color w:val="auto"/>
                <w:sz w:val="28"/>
                <w:szCs w:val="28"/>
                <w:lang w:val="en-US" w:eastAsia="zh-CN" w:bidi="zh-CN"/>
              </w:rPr>
            </w:pPr>
            <w:r>
              <w:rPr>
                <w:rFonts w:hint="eastAsia" w:ascii="Times New Roman" w:hAnsi="Times New Roman" w:eastAsia="仿宋" w:cs="Times New Roman"/>
                <w:color w:val="auto"/>
                <w:sz w:val="28"/>
                <w:szCs w:val="28"/>
                <w:lang w:eastAsia="zh-CN"/>
              </w:rPr>
              <w:t>1.办学方向与本科地位</w:t>
            </w:r>
          </w:p>
        </w:tc>
        <w:tc>
          <w:tcPr>
            <w:tcW w:w="6747" w:type="dxa"/>
            <w:vAlign w:val="center"/>
          </w:tcPr>
          <w:p w14:paraId="4477B531">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1.1.1-1</w:t>
            </w:r>
          </w:p>
          <w:p w14:paraId="73561C69">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1.1.1-2</w:t>
            </w:r>
          </w:p>
          <w:p w14:paraId="35E80BC7">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default" w:eastAsia="等线"/>
                <w:color w:val="auto"/>
                <w:vertAlign w:val="baseline"/>
                <w:lang w:val="en-US" w:eastAsia="zh-CN"/>
              </w:rPr>
            </w:pPr>
            <w:r>
              <w:rPr>
                <w:rFonts w:hint="eastAsia"/>
                <w:color w:val="auto"/>
                <w:vertAlign w:val="baseline"/>
                <w:lang w:val="en-US" w:eastAsia="zh-CN"/>
              </w:rPr>
              <w:t>......</w:t>
            </w:r>
          </w:p>
        </w:tc>
        <w:tc>
          <w:tcPr>
            <w:tcW w:w="1080" w:type="dxa"/>
          </w:tcPr>
          <w:p w14:paraId="0DA3009F">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textAlignment w:val="auto"/>
              <w:rPr>
                <w:rFonts w:hint="default"/>
                <w:color w:val="auto"/>
                <w:vertAlign w:val="baseline"/>
                <w:lang w:val="en-US" w:eastAsia="zh-CN"/>
              </w:rPr>
            </w:pPr>
          </w:p>
        </w:tc>
      </w:tr>
      <w:tr w14:paraId="36BE7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vMerge w:val="continue"/>
            <w:vAlign w:val="center"/>
          </w:tcPr>
          <w:p w14:paraId="06D0ACCB">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center"/>
              <w:textAlignment w:val="auto"/>
              <w:rPr>
                <w:color w:val="auto"/>
                <w:vertAlign w:val="baseline"/>
              </w:rPr>
            </w:pPr>
          </w:p>
        </w:tc>
        <w:tc>
          <w:tcPr>
            <w:tcW w:w="6747" w:type="dxa"/>
            <w:vAlign w:val="center"/>
          </w:tcPr>
          <w:p w14:paraId="5E1CDC0C">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1.1.2-1</w:t>
            </w:r>
          </w:p>
          <w:p w14:paraId="4CE16C58">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1.1.2-2</w:t>
            </w:r>
          </w:p>
          <w:p w14:paraId="43E99188">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default" w:eastAsia="等线"/>
                <w:color w:val="auto"/>
                <w:vertAlign w:val="baseline"/>
                <w:lang w:val="en-US" w:eastAsia="zh-CN"/>
              </w:rPr>
            </w:pPr>
            <w:r>
              <w:rPr>
                <w:rFonts w:hint="eastAsia"/>
                <w:color w:val="auto"/>
                <w:vertAlign w:val="baseline"/>
                <w:lang w:val="en-US" w:eastAsia="zh-CN"/>
              </w:rPr>
              <w:t>......</w:t>
            </w:r>
          </w:p>
        </w:tc>
        <w:tc>
          <w:tcPr>
            <w:tcW w:w="1080" w:type="dxa"/>
          </w:tcPr>
          <w:p w14:paraId="3D1C6A58">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textAlignment w:val="auto"/>
              <w:rPr>
                <w:color w:val="auto"/>
                <w:vertAlign w:val="baseline"/>
              </w:rPr>
            </w:pPr>
          </w:p>
        </w:tc>
      </w:tr>
      <w:tr w14:paraId="31B51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vMerge w:val="continue"/>
            <w:vAlign w:val="center"/>
          </w:tcPr>
          <w:p w14:paraId="5984A59A">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center"/>
              <w:textAlignment w:val="auto"/>
              <w:rPr>
                <w:color w:val="auto"/>
                <w:vertAlign w:val="baseline"/>
              </w:rPr>
            </w:pPr>
          </w:p>
        </w:tc>
        <w:tc>
          <w:tcPr>
            <w:tcW w:w="6747" w:type="dxa"/>
            <w:vAlign w:val="center"/>
          </w:tcPr>
          <w:p w14:paraId="5F37061A">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default" w:eastAsia="等线"/>
                <w:color w:val="auto"/>
                <w:vertAlign w:val="baseline"/>
                <w:lang w:val="en-US" w:eastAsia="zh-CN"/>
              </w:rPr>
            </w:pPr>
            <w:r>
              <w:rPr>
                <w:rFonts w:hint="eastAsia"/>
                <w:color w:val="auto"/>
                <w:vertAlign w:val="baseline"/>
                <w:lang w:val="en-US" w:eastAsia="zh-CN"/>
              </w:rPr>
              <w:t>......</w:t>
            </w:r>
          </w:p>
        </w:tc>
        <w:tc>
          <w:tcPr>
            <w:tcW w:w="1080" w:type="dxa"/>
          </w:tcPr>
          <w:p w14:paraId="5BCE0D4A">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textAlignment w:val="auto"/>
              <w:rPr>
                <w:color w:val="auto"/>
                <w:vertAlign w:val="baseline"/>
              </w:rPr>
            </w:pPr>
          </w:p>
        </w:tc>
      </w:tr>
      <w:tr w14:paraId="645D3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vMerge w:val="continue"/>
            <w:vAlign w:val="center"/>
          </w:tcPr>
          <w:p w14:paraId="4C4E2DD5">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center"/>
              <w:textAlignment w:val="auto"/>
              <w:rPr>
                <w:color w:val="auto"/>
                <w:vertAlign w:val="baseline"/>
              </w:rPr>
            </w:pPr>
          </w:p>
        </w:tc>
        <w:tc>
          <w:tcPr>
            <w:tcW w:w="6747" w:type="dxa"/>
            <w:vAlign w:val="center"/>
          </w:tcPr>
          <w:p w14:paraId="72118681">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1.2.1-1</w:t>
            </w:r>
          </w:p>
          <w:p w14:paraId="2155AB63">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1.2.2-2</w:t>
            </w:r>
          </w:p>
          <w:p w14:paraId="0227B99F">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default" w:eastAsia="等线"/>
                <w:color w:val="auto"/>
                <w:vertAlign w:val="baseline"/>
                <w:lang w:val="en-US" w:eastAsia="zh-CN"/>
              </w:rPr>
            </w:pPr>
            <w:r>
              <w:rPr>
                <w:rFonts w:hint="eastAsia"/>
                <w:color w:val="auto"/>
                <w:vertAlign w:val="baseline"/>
                <w:lang w:val="en-US" w:eastAsia="zh-CN"/>
              </w:rPr>
              <w:t>.....</w:t>
            </w:r>
          </w:p>
        </w:tc>
        <w:tc>
          <w:tcPr>
            <w:tcW w:w="1080" w:type="dxa"/>
          </w:tcPr>
          <w:p w14:paraId="56E16155">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textAlignment w:val="auto"/>
              <w:rPr>
                <w:color w:val="auto"/>
                <w:vertAlign w:val="baseline"/>
              </w:rPr>
            </w:pPr>
          </w:p>
        </w:tc>
      </w:tr>
      <w:tr w14:paraId="39795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vMerge w:val="continue"/>
            <w:vAlign w:val="center"/>
          </w:tcPr>
          <w:p w14:paraId="401DB111">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center"/>
              <w:textAlignment w:val="auto"/>
              <w:rPr>
                <w:color w:val="auto"/>
                <w:vertAlign w:val="baseline"/>
              </w:rPr>
            </w:pPr>
          </w:p>
        </w:tc>
        <w:tc>
          <w:tcPr>
            <w:tcW w:w="6747" w:type="dxa"/>
            <w:vAlign w:val="center"/>
          </w:tcPr>
          <w:p w14:paraId="01231652">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default" w:eastAsia="等线"/>
                <w:color w:val="auto"/>
                <w:vertAlign w:val="baseline"/>
                <w:lang w:val="en-US" w:eastAsia="zh-CN"/>
              </w:rPr>
            </w:pPr>
            <w:r>
              <w:rPr>
                <w:rFonts w:hint="eastAsia"/>
                <w:color w:val="auto"/>
                <w:vertAlign w:val="baseline"/>
                <w:lang w:val="en-US" w:eastAsia="zh-CN"/>
              </w:rPr>
              <w:t>.....</w:t>
            </w:r>
          </w:p>
        </w:tc>
        <w:tc>
          <w:tcPr>
            <w:tcW w:w="1080" w:type="dxa"/>
          </w:tcPr>
          <w:p w14:paraId="70CB176F">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textAlignment w:val="auto"/>
              <w:rPr>
                <w:color w:val="auto"/>
                <w:vertAlign w:val="baseline"/>
              </w:rPr>
            </w:pPr>
          </w:p>
        </w:tc>
      </w:tr>
      <w:tr w14:paraId="66D4D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vMerge w:val="continue"/>
            <w:vAlign w:val="center"/>
          </w:tcPr>
          <w:p w14:paraId="59E2D65B">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center"/>
              <w:textAlignment w:val="auto"/>
              <w:rPr>
                <w:color w:val="auto"/>
                <w:vertAlign w:val="baseline"/>
              </w:rPr>
            </w:pPr>
          </w:p>
        </w:tc>
        <w:tc>
          <w:tcPr>
            <w:tcW w:w="6747" w:type="dxa"/>
            <w:vAlign w:val="center"/>
          </w:tcPr>
          <w:p w14:paraId="51D86EB9">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1.3.1-1</w:t>
            </w:r>
          </w:p>
          <w:p w14:paraId="0315C33A">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1.3.1-2</w:t>
            </w:r>
          </w:p>
          <w:p w14:paraId="2265D699">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default" w:eastAsia="等线"/>
                <w:color w:val="auto"/>
                <w:vertAlign w:val="baseline"/>
                <w:lang w:val="en-US" w:eastAsia="zh-CN"/>
              </w:rPr>
            </w:pPr>
            <w:r>
              <w:rPr>
                <w:rFonts w:hint="eastAsia"/>
                <w:color w:val="auto"/>
                <w:vertAlign w:val="baseline"/>
                <w:lang w:val="en-US" w:eastAsia="zh-CN"/>
              </w:rPr>
              <w:t>.....</w:t>
            </w:r>
          </w:p>
        </w:tc>
        <w:tc>
          <w:tcPr>
            <w:tcW w:w="1080" w:type="dxa"/>
          </w:tcPr>
          <w:p w14:paraId="67A71002">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textAlignment w:val="auto"/>
              <w:rPr>
                <w:color w:val="auto"/>
                <w:vertAlign w:val="baseline"/>
              </w:rPr>
            </w:pPr>
          </w:p>
        </w:tc>
      </w:tr>
      <w:tr w14:paraId="3AA6A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vMerge w:val="restart"/>
            <w:vAlign w:val="center"/>
          </w:tcPr>
          <w:p w14:paraId="3A09A77F">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center"/>
              <w:textAlignment w:val="auto"/>
              <w:rPr>
                <w:color w:val="auto"/>
                <w:vertAlign w:val="baseline"/>
              </w:rPr>
            </w:pPr>
            <w:r>
              <w:rPr>
                <w:rFonts w:hint="eastAsia" w:ascii="Times New Roman" w:hAnsi="Times New Roman" w:eastAsia="仿宋" w:cs="Times New Roman"/>
                <w:color w:val="auto"/>
                <w:sz w:val="28"/>
                <w:szCs w:val="28"/>
                <w:lang w:eastAsia="zh-CN"/>
              </w:rPr>
              <w:t>2.培养过程</w:t>
            </w:r>
          </w:p>
        </w:tc>
        <w:tc>
          <w:tcPr>
            <w:tcW w:w="6747" w:type="dxa"/>
            <w:vAlign w:val="center"/>
          </w:tcPr>
          <w:p w14:paraId="1DD3FDB2">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2.1培养方案</w:t>
            </w:r>
          </w:p>
          <w:p w14:paraId="0AFD6816">
            <w:pPr>
              <w:pStyle w:val="12"/>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2.1.1</w:t>
            </w:r>
          </w:p>
          <w:p w14:paraId="30C39210">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2.1.2</w:t>
            </w:r>
          </w:p>
          <w:p w14:paraId="12E1DB64">
            <w:pPr>
              <w:pStyle w:val="12"/>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default"/>
                <w:color w:val="auto"/>
                <w:lang w:val="en-US" w:eastAsia="zh-CN"/>
              </w:rPr>
            </w:pPr>
            <w:r>
              <w:rPr>
                <w:rFonts w:hint="eastAsia"/>
                <w:color w:val="auto"/>
                <w:vertAlign w:val="baseline"/>
                <w:lang w:val="en-US" w:eastAsia="zh-CN"/>
              </w:rPr>
              <w:t>2.1.3</w:t>
            </w:r>
          </w:p>
          <w:p w14:paraId="495F7563">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2.2实践教学</w:t>
            </w:r>
          </w:p>
          <w:p w14:paraId="57C8D6A4">
            <w:pPr>
              <w:pStyle w:val="12"/>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2.2.1</w:t>
            </w:r>
          </w:p>
          <w:p w14:paraId="52BBF259">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default"/>
                <w:color w:val="auto"/>
                <w:lang w:val="en-US" w:eastAsia="zh-CN"/>
              </w:rPr>
            </w:pPr>
            <w:r>
              <w:rPr>
                <w:rFonts w:hint="eastAsia"/>
                <w:color w:val="auto"/>
                <w:vertAlign w:val="baseline"/>
                <w:lang w:val="en-US" w:eastAsia="zh-CN"/>
              </w:rPr>
              <w:t>2.2.2</w:t>
            </w:r>
          </w:p>
          <w:p w14:paraId="7C6D2415">
            <w:pPr>
              <w:pStyle w:val="12"/>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2.3课堂教学</w:t>
            </w:r>
          </w:p>
          <w:p w14:paraId="35F9C139">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lang w:val="en-US" w:eastAsia="zh-CN"/>
              </w:rPr>
            </w:pPr>
            <w:r>
              <w:rPr>
                <w:rFonts w:hint="eastAsia"/>
                <w:color w:val="auto"/>
                <w:lang w:val="en-US" w:eastAsia="zh-CN"/>
              </w:rPr>
              <w:t>2.3.1</w:t>
            </w:r>
          </w:p>
          <w:p w14:paraId="24DD7A01">
            <w:pPr>
              <w:pStyle w:val="12"/>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lang w:val="en-US" w:eastAsia="zh-CN"/>
              </w:rPr>
            </w:pPr>
            <w:r>
              <w:rPr>
                <w:rFonts w:hint="eastAsia"/>
                <w:color w:val="auto"/>
                <w:lang w:val="en-US" w:eastAsia="zh-CN"/>
              </w:rPr>
              <w:t>2.3.2</w:t>
            </w:r>
          </w:p>
          <w:p w14:paraId="085EE92B">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default"/>
                <w:color w:val="auto"/>
                <w:lang w:val="en-US" w:eastAsia="zh-CN"/>
              </w:rPr>
            </w:pPr>
            <w:r>
              <w:rPr>
                <w:rFonts w:hint="eastAsia"/>
                <w:color w:val="auto"/>
                <w:lang w:val="en-US" w:eastAsia="zh-CN"/>
              </w:rPr>
              <w:t>2.3.3</w:t>
            </w:r>
          </w:p>
          <w:p w14:paraId="62AFF62E">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2.4卓越培养</w:t>
            </w:r>
          </w:p>
          <w:p w14:paraId="0B5CEA4D">
            <w:pPr>
              <w:pStyle w:val="12"/>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2.4.1</w:t>
            </w:r>
          </w:p>
          <w:p w14:paraId="15F35F6D">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2.4.2</w:t>
            </w:r>
          </w:p>
          <w:p w14:paraId="2E9C28E9">
            <w:pPr>
              <w:pStyle w:val="12"/>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default"/>
                <w:color w:val="auto"/>
                <w:lang w:val="en-US" w:eastAsia="zh-CN"/>
              </w:rPr>
            </w:pPr>
            <w:r>
              <w:rPr>
                <w:rFonts w:hint="eastAsia"/>
                <w:color w:val="auto"/>
                <w:vertAlign w:val="baseline"/>
                <w:lang w:val="en-US" w:eastAsia="zh-CN"/>
              </w:rPr>
              <w:t>2.4.3</w:t>
            </w:r>
          </w:p>
          <w:p w14:paraId="328AC287">
            <w:pPr>
              <w:pStyle w:val="12"/>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2.5创新创业</w:t>
            </w:r>
          </w:p>
          <w:p w14:paraId="15DD15A0">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2.5.1</w:t>
            </w:r>
          </w:p>
          <w:p w14:paraId="76294A16">
            <w:pPr>
              <w:pStyle w:val="12"/>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default"/>
                <w:color w:val="auto"/>
                <w:lang w:val="en-US"/>
              </w:rPr>
            </w:pPr>
            <w:r>
              <w:rPr>
                <w:rFonts w:hint="eastAsia"/>
                <w:color w:val="auto"/>
                <w:vertAlign w:val="baseline"/>
                <w:lang w:val="en-US" w:eastAsia="zh-CN"/>
              </w:rPr>
              <w:t>2.5.2</w:t>
            </w:r>
          </w:p>
        </w:tc>
        <w:tc>
          <w:tcPr>
            <w:tcW w:w="1080" w:type="dxa"/>
          </w:tcPr>
          <w:p w14:paraId="4CD9122B">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textAlignment w:val="auto"/>
              <w:rPr>
                <w:color w:val="auto"/>
                <w:vertAlign w:val="baseline"/>
              </w:rPr>
            </w:pPr>
          </w:p>
        </w:tc>
      </w:tr>
      <w:tr w14:paraId="517B0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vMerge w:val="continue"/>
            <w:vAlign w:val="center"/>
          </w:tcPr>
          <w:p w14:paraId="41F77ED3">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center"/>
              <w:textAlignment w:val="auto"/>
              <w:rPr>
                <w:color w:val="auto"/>
                <w:vertAlign w:val="baseline"/>
              </w:rPr>
            </w:pPr>
          </w:p>
        </w:tc>
        <w:tc>
          <w:tcPr>
            <w:tcW w:w="6747" w:type="dxa"/>
            <w:vAlign w:val="center"/>
          </w:tcPr>
          <w:p w14:paraId="38102ABD">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2.1.2-1</w:t>
            </w:r>
          </w:p>
          <w:p w14:paraId="71073916">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2.1.2-2</w:t>
            </w:r>
          </w:p>
          <w:p w14:paraId="69BD4E3C">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w:t>
            </w:r>
          </w:p>
        </w:tc>
        <w:tc>
          <w:tcPr>
            <w:tcW w:w="1080" w:type="dxa"/>
          </w:tcPr>
          <w:p w14:paraId="1E6B5028">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textAlignment w:val="auto"/>
              <w:rPr>
                <w:color w:val="auto"/>
                <w:vertAlign w:val="baseline"/>
              </w:rPr>
            </w:pPr>
          </w:p>
        </w:tc>
      </w:tr>
      <w:tr w14:paraId="212D1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vMerge w:val="continue"/>
            <w:vAlign w:val="center"/>
          </w:tcPr>
          <w:p w14:paraId="190AE21F">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center"/>
              <w:textAlignment w:val="auto"/>
              <w:rPr>
                <w:color w:val="auto"/>
                <w:vertAlign w:val="baseline"/>
              </w:rPr>
            </w:pPr>
          </w:p>
        </w:tc>
        <w:tc>
          <w:tcPr>
            <w:tcW w:w="6747" w:type="dxa"/>
            <w:vAlign w:val="center"/>
          </w:tcPr>
          <w:p w14:paraId="6F0CCAAA">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1.2.1-1</w:t>
            </w:r>
          </w:p>
          <w:p w14:paraId="6FEA6A94">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1.2.2-2</w:t>
            </w:r>
          </w:p>
          <w:p w14:paraId="4B0F5097">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w:t>
            </w:r>
          </w:p>
        </w:tc>
        <w:tc>
          <w:tcPr>
            <w:tcW w:w="1080" w:type="dxa"/>
          </w:tcPr>
          <w:p w14:paraId="52D3EDF1">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textAlignment w:val="auto"/>
              <w:rPr>
                <w:color w:val="auto"/>
                <w:vertAlign w:val="baseline"/>
              </w:rPr>
            </w:pPr>
          </w:p>
        </w:tc>
      </w:tr>
      <w:tr w14:paraId="121B4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vAlign w:val="center"/>
          </w:tcPr>
          <w:p w14:paraId="1DC974EC">
            <w:pPr>
              <w:keepNext w:val="0"/>
              <w:keepLines w:val="0"/>
              <w:pageBreakBefore w:val="0"/>
              <w:widowControl w:val="0"/>
              <w:kinsoku/>
              <w:wordWrap/>
              <w:overflowPunct/>
              <w:topLinePunct w:val="0"/>
              <w:autoSpaceDE w:val="0"/>
              <w:autoSpaceDN w:val="0"/>
              <w:bidi w:val="0"/>
              <w:adjustRightInd/>
              <w:snapToGrid/>
              <w:spacing w:line="312" w:lineRule="auto"/>
              <w:ind w:left="0" w:leftChars="0" w:firstLine="0" w:firstLineChars="0"/>
              <w:jc w:val="center"/>
              <w:textAlignment w:val="auto"/>
              <w:rPr>
                <w:rFonts w:hint="default"/>
                <w:color w:val="auto"/>
                <w:vertAlign w:val="baseline"/>
                <w:lang w:val="en-US"/>
              </w:rPr>
            </w:pPr>
            <w:r>
              <w:rPr>
                <w:rFonts w:hint="eastAsia"/>
                <w:color w:val="auto"/>
                <w:vertAlign w:val="baseline"/>
                <w:lang w:val="en-US" w:eastAsia="zh-CN"/>
              </w:rPr>
              <w:t>4.教师队伍</w:t>
            </w:r>
          </w:p>
        </w:tc>
        <w:tc>
          <w:tcPr>
            <w:tcW w:w="6747" w:type="dxa"/>
            <w:vAlign w:val="center"/>
          </w:tcPr>
          <w:p w14:paraId="46CB60E1">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4.1师风师德</w:t>
            </w:r>
          </w:p>
          <w:p w14:paraId="3988D0FE">
            <w:pPr>
              <w:pStyle w:val="12"/>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4.2教学能力</w:t>
            </w:r>
          </w:p>
          <w:p w14:paraId="4391093A">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4.3教学投入</w:t>
            </w:r>
          </w:p>
          <w:p w14:paraId="2C72405F">
            <w:pPr>
              <w:pStyle w:val="12"/>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default"/>
                <w:color w:val="auto"/>
                <w:lang w:val="en-US" w:eastAsia="zh-CN"/>
              </w:rPr>
            </w:pPr>
            <w:r>
              <w:rPr>
                <w:rFonts w:hint="eastAsia"/>
                <w:color w:val="auto"/>
                <w:vertAlign w:val="baseline"/>
                <w:lang w:val="en-US" w:eastAsia="zh-CN"/>
              </w:rPr>
              <w:t>4.4教学发展</w:t>
            </w:r>
          </w:p>
        </w:tc>
        <w:tc>
          <w:tcPr>
            <w:tcW w:w="1080" w:type="dxa"/>
          </w:tcPr>
          <w:p w14:paraId="1FA4EA50">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textAlignment w:val="auto"/>
              <w:rPr>
                <w:color w:val="auto"/>
                <w:vertAlign w:val="baseline"/>
              </w:rPr>
            </w:pPr>
          </w:p>
        </w:tc>
      </w:tr>
      <w:tr w14:paraId="7D1D9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058" w:type="dxa"/>
            <w:vAlign w:val="center"/>
          </w:tcPr>
          <w:p w14:paraId="7FA114D3">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5.学生发展</w:t>
            </w:r>
          </w:p>
        </w:tc>
        <w:tc>
          <w:tcPr>
            <w:tcW w:w="6747" w:type="dxa"/>
            <w:vAlign w:val="center"/>
          </w:tcPr>
          <w:p w14:paraId="260809FA">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default"/>
                <w:color w:val="auto"/>
                <w:vertAlign w:val="baseline"/>
                <w:lang w:val="en-US" w:eastAsia="zh-CN"/>
              </w:rPr>
            </w:pPr>
            <w:r>
              <w:rPr>
                <w:rFonts w:hint="eastAsia"/>
                <w:color w:val="auto"/>
                <w:vertAlign w:val="baseline"/>
                <w:lang w:val="en-US" w:eastAsia="zh-CN"/>
              </w:rPr>
              <w:t>5.1学生理想信念支撑材料</w:t>
            </w:r>
          </w:p>
        </w:tc>
        <w:tc>
          <w:tcPr>
            <w:tcW w:w="1080" w:type="dxa"/>
          </w:tcPr>
          <w:p w14:paraId="409FD1DA">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textAlignment w:val="auto"/>
              <w:rPr>
                <w:color w:val="auto"/>
                <w:vertAlign w:val="baseline"/>
              </w:rPr>
            </w:pPr>
          </w:p>
        </w:tc>
      </w:tr>
      <w:tr w14:paraId="4C92F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058" w:type="dxa"/>
            <w:vAlign w:val="center"/>
          </w:tcPr>
          <w:p w14:paraId="24D42FCC">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6.质量保障支撑材料</w:t>
            </w:r>
          </w:p>
        </w:tc>
        <w:tc>
          <w:tcPr>
            <w:tcW w:w="6747" w:type="dxa"/>
            <w:vAlign w:val="center"/>
          </w:tcPr>
          <w:p w14:paraId="2CE802DD">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6.1质量改进</w:t>
            </w:r>
          </w:p>
          <w:p w14:paraId="4D44B11C">
            <w:pPr>
              <w:pStyle w:val="12"/>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6.2质量管理</w:t>
            </w:r>
          </w:p>
          <w:p w14:paraId="7F4B74AC">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default"/>
                <w:color w:val="auto"/>
                <w:lang w:val="en-US" w:eastAsia="zh-CN"/>
              </w:rPr>
            </w:pPr>
            <w:r>
              <w:rPr>
                <w:rFonts w:hint="eastAsia"/>
                <w:color w:val="auto"/>
                <w:vertAlign w:val="baseline"/>
                <w:lang w:val="en-US" w:eastAsia="zh-CN"/>
              </w:rPr>
              <w:t>6.3质量文化</w:t>
            </w:r>
          </w:p>
        </w:tc>
        <w:tc>
          <w:tcPr>
            <w:tcW w:w="1080" w:type="dxa"/>
          </w:tcPr>
          <w:p w14:paraId="4A5BAB40">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textAlignment w:val="auto"/>
              <w:rPr>
                <w:rFonts w:hint="eastAsia"/>
                <w:color w:val="auto"/>
                <w:vertAlign w:val="baseline"/>
                <w:lang w:val="en-US" w:eastAsia="zh-CN"/>
              </w:rPr>
            </w:pPr>
          </w:p>
        </w:tc>
      </w:tr>
      <w:tr w14:paraId="1B99D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058" w:type="dxa"/>
            <w:vAlign w:val="center"/>
          </w:tcPr>
          <w:p w14:paraId="5FDCC477">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7.教学成效</w:t>
            </w:r>
          </w:p>
        </w:tc>
        <w:tc>
          <w:tcPr>
            <w:tcW w:w="6747" w:type="dxa"/>
            <w:vAlign w:val="center"/>
          </w:tcPr>
          <w:p w14:paraId="15DC6F12">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7.1达成度</w:t>
            </w:r>
          </w:p>
          <w:p w14:paraId="6F03578C">
            <w:pPr>
              <w:pStyle w:val="12"/>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7.1.1</w:t>
            </w:r>
          </w:p>
          <w:p w14:paraId="5CCCEA17">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default"/>
                <w:color w:val="auto"/>
                <w:lang w:val="en-US" w:eastAsia="zh-CN"/>
              </w:rPr>
            </w:pPr>
            <w:r>
              <w:rPr>
                <w:rFonts w:hint="eastAsia"/>
                <w:color w:val="auto"/>
                <w:vertAlign w:val="baseline"/>
                <w:lang w:val="en-US" w:eastAsia="zh-CN"/>
              </w:rPr>
              <w:t>7.1.2</w:t>
            </w:r>
          </w:p>
          <w:p w14:paraId="6F224F38">
            <w:pPr>
              <w:pStyle w:val="12"/>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7.2适应度</w:t>
            </w:r>
          </w:p>
          <w:p w14:paraId="2816E25D">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7.3保障度</w:t>
            </w:r>
          </w:p>
          <w:p w14:paraId="7FEE3D0A">
            <w:pPr>
              <w:pStyle w:val="12"/>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eastAsia"/>
                <w:color w:val="auto"/>
                <w:vertAlign w:val="baseline"/>
                <w:lang w:val="en-US" w:eastAsia="zh-CN"/>
              </w:rPr>
            </w:pPr>
            <w:r>
              <w:rPr>
                <w:rFonts w:hint="eastAsia"/>
                <w:color w:val="auto"/>
                <w:vertAlign w:val="baseline"/>
                <w:lang w:val="en-US" w:eastAsia="zh-CN"/>
              </w:rPr>
              <w:t>7.4有效度</w:t>
            </w:r>
          </w:p>
          <w:p w14:paraId="2456F8AF">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jc w:val="both"/>
              <w:textAlignment w:val="auto"/>
              <w:rPr>
                <w:rFonts w:hint="default"/>
                <w:color w:val="auto"/>
                <w:lang w:val="en-US" w:eastAsia="zh-CN"/>
              </w:rPr>
            </w:pPr>
            <w:r>
              <w:rPr>
                <w:rFonts w:hint="eastAsia"/>
                <w:color w:val="auto"/>
                <w:vertAlign w:val="baseline"/>
                <w:lang w:val="en-US" w:eastAsia="zh-CN"/>
              </w:rPr>
              <w:t>7.5满意度</w:t>
            </w:r>
          </w:p>
        </w:tc>
        <w:tc>
          <w:tcPr>
            <w:tcW w:w="1080" w:type="dxa"/>
          </w:tcPr>
          <w:p w14:paraId="01E0A38C">
            <w:pPr>
              <w:keepNext w:val="0"/>
              <w:keepLines w:val="0"/>
              <w:pageBreakBefore w:val="0"/>
              <w:widowControl w:val="0"/>
              <w:kinsoku/>
              <w:wordWrap/>
              <w:overflowPunct/>
              <w:topLinePunct w:val="0"/>
              <w:autoSpaceDE w:val="0"/>
              <w:autoSpaceDN w:val="0"/>
              <w:bidi w:val="0"/>
              <w:adjustRightInd/>
              <w:snapToGrid/>
              <w:spacing w:line="312" w:lineRule="auto"/>
              <w:ind w:firstLine="0" w:firstLineChars="0"/>
              <w:textAlignment w:val="auto"/>
              <w:rPr>
                <w:rFonts w:hint="eastAsia"/>
                <w:color w:val="auto"/>
                <w:vertAlign w:val="baseline"/>
                <w:lang w:val="en-US" w:eastAsia="zh-CN"/>
              </w:rPr>
            </w:pPr>
          </w:p>
        </w:tc>
      </w:tr>
    </w:tbl>
    <w:p w14:paraId="38515F36">
      <w:pPr>
        <w:keepNext w:val="0"/>
        <w:keepLines w:val="0"/>
        <w:pageBreakBefore w:val="0"/>
        <w:widowControl w:val="0"/>
        <w:kinsoku/>
        <w:wordWrap/>
        <w:overflowPunct/>
        <w:topLinePunct w:val="0"/>
        <w:autoSpaceDE w:val="0"/>
        <w:autoSpaceDN w:val="0"/>
        <w:bidi w:val="0"/>
        <w:adjustRightInd/>
        <w:snapToGrid/>
        <w:spacing w:line="40" w:lineRule="exact"/>
        <w:textAlignment w:val="auto"/>
        <w:rPr>
          <w:color w:val="auto"/>
        </w:rPr>
      </w:pPr>
    </w:p>
    <w:sectPr>
      <w:footerReference r:id="rId7" w:type="default"/>
      <w:pgSz w:w="11910" w:h="16840"/>
      <w:pgMar w:top="1417" w:right="1531" w:bottom="1304" w:left="1531" w:header="0" w:footer="964" w:gutter="0"/>
      <w:pgNumType w:fmt="decimal" w:start="1"/>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A1B65">
    <w:pPr>
      <w:pStyle w:val="10"/>
      <w:jc w:val="center"/>
    </w:pPr>
  </w:p>
  <w:p w14:paraId="7FE9F565">
    <w:pPr>
      <w:pStyle w:val="10"/>
      <w:jc w:val="center"/>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ED410">
    <w:pPr>
      <w:pStyle w:val="8"/>
      <w:spacing w:line="14" w:lineRule="auto"/>
      <w:ind w:left="0"/>
      <w:rPr>
        <w:sz w:val="20"/>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33045" cy="144780"/>
              <wp:effectExtent l="0" t="0" r="0" b="0"/>
              <wp:wrapNone/>
              <wp:docPr id="3" name="文本框 3"/>
              <wp:cNvGraphicFramePr/>
              <a:graphic xmlns:a="http://schemas.openxmlformats.org/drawingml/2006/main">
                <a:graphicData uri="http://schemas.microsoft.com/office/word/2010/wordprocessingShape">
                  <wps:wsp>
                    <wps:cNvSpPr txBox="1"/>
                    <wps:spPr>
                      <a:xfrm>
                        <a:off x="0" y="0"/>
                        <a:ext cx="233045" cy="144780"/>
                      </a:xfrm>
                      <a:prstGeom prst="rect">
                        <a:avLst/>
                      </a:prstGeom>
                      <a:noFill/>
                      <a:ln>
                        <a:noFill/>
                      </a:ln>
                    </wps:spPr>
                    <wps:txbx>
                      <w:txbxContent>
                        <w:p w14:paraId="06399DA5">
                          <w:pPr>
                            <w:spacing w:line="228" w:lineRule="exact"/>
                            <w:ind w:left="40"/>
                            <w:rPr>
                              <w:sz w:val="18"/>
                            </w:rPr>
                          </w:pPr>
                          <w:r>
                            <w:fldChar w:fldCharType="begin"/>
                          </w:r>
                          <w:r>
                            <w:rPr>
                              <w:sz w:val="18"/>
                            </w:rPr>
                            <w:instrText xml:space="preserve"> PAGE </w:instrText>
                          </w:r>
                          <w:r>
                            <w:fldChar w:fldCharType="separate"/>
                          </w:r>
                          <w:r>
                            <w:t>120</w:t>
                          </w:r>
                          <w:r>
                            <w:fldChar w:fldCharType="end"/>
                          </w:r>
                        </w:p>
                      </w:txbxContent>
                    </wps:txbx>
                    <wps:bodyPr lIns="0" tIns="0" rIns="0" bIns="0" upright="1"/>
                  </wps:wsp>
                </a:graphicData>
              </a:graphic>
            </wp:anchor>
          </w:drawing>
        </mc:Choice>
        <mc:Fallback>
          <w:pict>
            <v:shape id="_x0000_s1026" o:spid="_x0000_s1026" o:spt="202" type="#_x0000_t202" style="position:absolute;left:0pt;margin-top:0pt;height:11.4pt;width:18.35pt;mso-position-horizontal:center;mso-position-horizontal-relative:margin;z-index:251659264;mso-width-relative:page;mso-height-relative:page;" filled="f" stroked="f" coordsize="21600,21600" o:gfxdata="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Jm2GPUAAAAAwEAAA8AAAAAAAAAAQAgAAAAIgAAAGRycy9kb3ducmV2LnhtbFBLAQIUABQA&#10;AAAIAIdO4kDHsjrRuwEAAHEDAAAOAAAAAAAAAAEAIAAAACMBAABkcnMvZTJvRG9jLnhtbFBLBQYA&#10;AAAABgAGAFkBAABQBQAAAAA=&#10;">
              <v:fill on="f" focussize="0,0"/>
              <v:stroke on="f"/>
              <v:imagedata o:title=""/>
              <o:lock v:ext="edit" aspectratio="f"/>
              <v:textbox inset="0mm,0mm,0mm,0mm">
                <w:txbxContent>
                  <w:p w14:paraId="06399DA5">
                    <w:pPr>
                      <w:spacing w:line="228" w:lineRule="exact"/>
                      <w:ind w:left="40"/>
                      <w:rPr>
                        <w:sz w:val="18"/>
                      </w:rPr>
                    </w:pPr>
                    <w:r>
                      <w:fldChar w:fldCharType="begin"/>
                    </w:r>
                    <w:r>
                      <w:rPr>
                        <w:sz w:val="18"/>
                      </w:rPr>
                      <w:instrText xml:space="preserve"> PAGE </w:instrText>
                    </w:r>
                    <w:r>
                      <w:fldChar w:fldCharType="separate"/>
                    </w:r>
                    <w:r>
                      <w:t>120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A0AC3">
    <w:pPr>
      <w:pStyle w:val="10"/>
      <w:ind w:left="0" w:leftChars="0" w:firstLine="0" w:firstLineChars="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C2597F">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0C2597F">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17" w:lineRule="auto"/>
        <w:ind w:firstLine="560"/>
      </w:pPr>
      <w:r>
        <w:separator/>
      </w:r>
    </w:p>
  </w:footnote>
  <w:footnote w:type="continuationSeparator" w:id="1">
    <w:p>
      <w:pPr>
        <w:spacing w:line="317" w:lineRule="auto"/>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AC0C53"/>
    <w:multiLevelType w:val="singleLevel"/>
    <w:tmpl w:val="B8AC0C53"/>
    <w:lvl w:ilvl="0" w:tentative="0">
      <w:start w:val="1"/>
      <w:numFmt w:val="chineseCounting"/>
      <w:suff w:val="nothing"/>
      <w:lvlText w:val="第%1，"/>
      <w:lvlJc w:val="left"/>
      <w:rPr>
        <w:rFonts w:hint="eastAsia"/>
      </w:rPr>
    </w:lvl>
  </w:abstractNum>
  <w:abstractNum w:abstractNumId="1">
    <w:nsid w:val="CF092B84"/>
    <w:multiLevelType w:val="multilevel"/>
    <w:tmpl w:val="CF092B84"/>
    <w:lvl w:ilvl="0" w:tentative="0">
      <w:start w:val="1"/>
      <w:numFmt w:val="decimal"/>
      <w:pStyle w:val="24"/>
      <w:lvlText w:val="%1."/>
      <w:lvlJc w:val="left"/>
      <w:pPr>
        <w:ind w:left="120" w:hanging="284"/>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990" w:hanging="284"/>
      </w:pPr>
      <w:rPr>
        <w:rFonts w:hint="default"/>
        <w:lang w:val="zh-CN" w:eastAsia="zh-CN" w:bidi="zh-CN"/>
      </w:rPr>
    </w:lvl>
    <w:lvl w:ilvl="2" w:tentative="0">
      <w:start w:val="0"/>
      <w:numFmt w:val="bullet"/>
      <w:lvlText w:val="•"/>
      <w:lvlJc w:val="left"/>
      <w:pPr>
        <w:ind w:left="1861" w:hanging="284"/>
      </w:pPr>
      <w:rPr>
        <w:rFonts w:hint="default"/>
        <w:lang w:val="zh-CN" w:eastAsia="zh-CN" w:bidi="zh-CN"/>
      </w:rPr>
    </w:lvl>
    <w:lvl w:ilvl="3" w:tentative="0">
      <w:start w:val="0"/>
      <w:numFmt w:val="bullet"/>
      <w:lvlText w:val="•"/>
      <w:lvlJc w:val="left"/>
      <w:pPr>
        <w:ind w:left="2731" w:hanging="284"/>
      </w:pPr>
      <w:rPr>
        <w:rFonts w:hint="default"/>
        <w:lang w:val="zh-CN" w:eastAsia="zh-CN" w:bidi="zh-CN"/>
      </w:rPr>
    </w:lvl>
    <w:lvl w:ilvl="4" w:tentative="0">
      <w:start w:val="0"/>
      <w:numFmt w:val="bullet"/>
      <w:lvlText w:val="•"/>
      <w:lvlJc w:val="left"/>
      <w:pPr>
        <w:ind w:left="3602" w:hanging="284"/>
      </w:pPr>
      <w:rPr>
        <w:rFonts w:hint="default"/>
        <w:lang w:val="zh-CN" w:eastAsia="zh-CN" w:bidi="zh-CN"/>
      </w:rPr>
    </w:lvl>
    <w:lvl w:ilvl="5" w:tentative="0">
      <w:start w:val="0"/>
      <w:numFmt w:val="bullet"/>
      <w:lvlText w:val="•"/>
      <w:lvlJc w:val="left"/>
      <w:pPr>
        <w:ind w:left="4473" w:hanging="284"/>
      </w:pPr>
      <w:rPr>
        <w:rFonts w:hint="default"/>
        <w:lang w:val="zh-CN" w:eastAsia="zh-CN" w:bidi="zh-CN"/>
      </w:rPr>
    </w:lvl>
    <w:lvl w:ilvl="6" w:tentative="0">
      <w:start w:val="0"/>
      <w:numFmt w:val="bullet"/>
      <w:lvlText w:val="•"/>
      <w:lvlJc w:val="left"/>
      <w:pPr>
        <w:ind w:left="5343" w:hanging="284"/>
      </w:pPr>
      <w:rPr>
        <w:rFonts w:hint="default"/>
        <w:lang w:val="zh-CN" w:eastAsia="zh-CN" w:bidi="zh-CN"/>
      </w:rPr>
    </w:lvl>
    <w:lvl w:ilvl="7" w:tentative="0">
      <w:start w:val="0"/>
      <w:numFmt w:val="bullet"/>
      <w:lvlText w:val="•"/>
      <w:lvlJc w:val="left"/>
      <w:pPr>
        <w:ind w:left="6214" w:hanging="284"/>
      </w:pPr>
      <w:rPr>
        <w:rFonts w:hint="default"/>
        <w:lang w:val="zh-CN" w:eastAsia="zh-CN" w:bidi="zh-CN"/>
      </w:rPr>
    </w:lvl>
    <w:lvl w:ilvl="8" w:tentative="0">
      <w:start w:val="0"/>
      <w:numFmt w:val="bullet"/>
      <w:lvlText w:val="•"/>
      <w:lvlJc w:val="left"/>
      <w:pPr>
        <w:ind w:left="7084" w:hanging="284"/>
      </w:pPr>
      <w:rPr>
        <w:rFonts w:hint="default"/>
        <w:lang w:val="zh-CN" w:eastAsia="zh-CN" w:bidi="zh-CN"/>
      </w:rPr>
    </w:lvl>
  </w:abstractNum>
  <w:abstractNum w:abstractNumId="2">
    <w:nsid w:val="0053208E"/>
    <w:multiLevelType w:val="multilevel"/>
    <w:tmpl w:val="0053208E"/>
    <w:lvl w:ilvl="0" w:tentative="0">
      <w:start w:val="1"/>
      <w:numFmt w:val="decimal"/>
      <w:lvlText w:val="%1."/>
      <w:lvlJc w:val="left"/>
      <w:pPr>
        <w:ind w:left="962" w:hanging="284"/>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1746" w:hanging="284"/>
      </w:pPr>
      <w:rPr>
        <w:rFonts w:hint="default"/>
        <w:lang w:val="zh-CN" w:eastAsia="zh-CN" w:bidi="zh-CN"/>
      </w:rPr>
    </w:lvl>
    <w:lvl w:ilvl="2" w:tentative="0">
      <w:start w:val="0"/>
      <w:numFmt w:val="bullet"/>
      <w:lvlText w:val="•"/>
      <w:lvlJc w:val="left"/>
      <w:pPr>
        <w:ind w:left="2533" w:hanging="284"/>
      </w:pPr>
      <w:rPr>
        <w:rFonts w:hint="default"/>
        <w:lang w:val="zh-CN" w:eastAsia="zh-CN" w:bidi="zh-CN"/>
      </w:rPr>
    </w:lvl>
    <w:lvl w:ilvl="3" w:tentative="0">
      <w:start w:val="0"/>
      <w:numFmt w:val="bullet"/>
      <w:lvlText w:val="•"/>
      <w:lvlJc w:val="left"/>
      <w:pPr>
        <w:ind w:left="3319" w:hanging="284"/>
      </w:pPr>
      <w:rPr>
        <w:rFonts w:hint="default"/>
        <w:lang w:val="zh-CN" w:eastAsia="zh-CN" w:bidi="zh-CN"/>
      </w:rPr>
    </w:lvl>
    <w:lvl w:ilvl="4" w:tentative="0">
      <w:start w:val="0"/>
      <w:numFmt w:val="bullet"/>
      <w:lvlText w:val="•"/>
      <w:lvlJc w:val="left"/>
      <w:pPr>
        <w:ind w:left="4106" w:hanging="284"/>
      </w:pPr>
      <w:rPr>
        <w:rFonts w:hint="default"/>
        <w:lang w:val="zh-CN" w:eastAsia="zh-CN" w:bidi="zh-CN"/>
      </w:rPr>
    </w:lvl>
    <w:lvl w:ilvl="5" w:tentative="0">
      <w:start w:val="0"/>
      <w:numFmt w:val="bullet"/>
      <w:lvlText w:val="•"/>
      <w:lvlJc w:val="left"/>
      <w:pPr>
        <w:ind w:left="4893" w:hanging="284"/>
      </w:pPr>
      <w:rPr>
        <w:rFonts w:hint="default"/>
        <w:lang w:val="zh-CN" w:eastAsia="zh-CN" w:bidi="zh-CN"/>
      </w:rPr>
    </w:lvl>
    <w:lvl w:ilvl="6" w:tentative="0">
      <w:start w:val="0"/>
      <w:numFmt w:val="bullet"/>
      <w:lvlText w:val="•"/>
      <w:lvlJc w:val="left"/>
      <w:pPr>
        <w:ind w:left="5679" w:hanging="284"/>
      </w:pPr>
      <w:rPr>
        <w:rFonts w:hint="default"/>
        <w:lang w:val="zh-CN" w:eastAsia="zh-CN" w:bidi="zh-CN"/>
      </w:rPr>
    </w:lvl>
    <w:lvl w:ilvl="7" w:tentative="0">
      <w:start w:val="0"/>
      <w:numFmt w:val="bullet"/>
      <w:lvlText w:val="•"/>
      <w:lvlJc w:val="left"/>
      <w:pPr>
        <w:ind w:left="6466" w:hanging="284"/>
      </w:pPr>
      <w:rPr>
        <w:rFonts w:hint="default"/>
        <w:lang w:val="zh-CN" w:eastAsia="zh-CN" w:bidi="zh-CN"/>
      </w:rPr>
    </w:lvl>
    <w:lvl w:ilvl="8" w:tentative="0">
      <w:start w:val="0"/>
      <w:numFmt w:val="bullet"/>
      <w:lvlText w:val="•"/>
      <w:lvlJc w:val="left"/>
      <w:pPr>
        <w:ind w:left="7252" w:hanging="284"/>
      </w:pPr>
      <w:rPr>
        <w:rFonts w:hint="default"/>
        <w:lang w:val="zh-CN" w:eastAsia="zh-CN" w:bidi="zh-CN"/>
      </w:rPr>
    </w:lvl>
  </w:abstractNum>
  <w:abstractNum w:abstractNumId="3">
    <w:nsid w:val="40D57468"/>
    <w:multiLevelType w:val="singleLevel"/>
    <w:tmpl w:val="40D57468"/>
    <w:lvl w:ilvl="0" w:tentative="0">
      <w:start w:val="1"/>
      <w:numFmt w:val="chineseCounting"/>
      <w:suff w:val="nothing"/>
      <w:lvlText w:val="第%1，"/>
      <w:lvlJc w:val="left"/>
      <w:rPr>
        <w:rFonts w:hint="eastAsia"/>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Q3ODVkNzM0ODU5NWRhNDcxNDk2YjFkZDBlOWNiODkifQ=="/>
    <w:docVar w:name="KSO_WPS_MARK_KEY" w:val="37e28e8a-a682-4676-8525-29a46e9352cf"/>
  </w:docVars>
  <w:rsids>
    <w:rsidRoot w:val="00D85C32"/>
    <w:rsid w:val="00030708"/>
    <w:rsid w:val="0004363A"/>
    <w:rsid w:val="00046B78"/>
    <w:rsid w:val="00047A23"/>
    <w:rsid w:val="00072097"/>
    <w:rsid w:val="000D1A36"/>
    <w:rsid w:val="000F0DCE"/>
    <w:rsid w:val="000F5F3F"/>
    <w:rsid w:val="00127EFF"/>
    <w:rsid w:val="00147060"/>
    <w:rsid w:val="00172592"/>
    <w:rsid w:val="0018610B"/>
    <w:rsid w:val="00262671"/>
    <w:rsid w:val="002C1A3D"/>
    <w:rsid w:val="002D5A0D"/>
    <w:rsid w:val="002E7F84"/>
    <w:rsid w:val="003428D2"/>
    <w:rsid w:val="003463E6"/>
    <w:rsid w:val="003D3223"/>
    <w:rsid w:val="003D6555"/>
    <w:rsid w:val="0043477F"/>
    <w:rsid w:val="00461805"/>
    <w:rsid w:val="00482CFC"/>
    <w:rsid w:val="004F7720"/>
    <w:rsid w:val="00511539"/>
    <w:rsid w:val="00516B73"/>
    <w:rsid w:val="0054562B"/>
    <w:rsid w:val="005B39C0"/>
    <w:rsid w:val="005B5558"/>
    <w:rsid w:val="005C6E2C"/>
    <w:rsid w:val="006A60DC"/>
    <w:rsid w:val="006D5FB2"/>
    <w:rsid w:val="006F62A1"/>
    <w:rsid w:val="00704875"/>
    <w:rsid w:val="007142A0"/>
    <w:rsid w:val="00744FD6"/>
    <w:rsid w:val="00762790"/>
    <w:rsid w:val="00770FB0"/>
    <w:rsid w:val="00785B7A"/>
    <w:rsid w:val="007B2848"/>
    <w:rsid w:val="00844243"/>
    <w:rsid w:val="00883826"/>
    <w:rsid w:val="00887A62"/>
    <w:rsid w:val="008A6D1A"/>
    <w:rsid w:val="008C1F51"/>
    <w:rsid w:val="009115F8"/>
    <w:rsid w:val="00912703"/>
    <w:rsid w:val="00934B5E"/>
    <w:rsid w:val="00936C02"/>
    <w:rsid w:val="00991EA0"/>
    <w:rsid w:val="009A3995"/>
    <w:rsid w:val="009B31C5"/>
    <w:rsid w:val="009D0309"/>
    <w:rsid w:val="009E6BF7"/>
    <w:rsid w:val="00A00A86"/>
    <w:rsid w:val="00A256D9"/>
    <w:rsid w:val="00A2614F"/>
    <w:rsid w:val="00A447EB"/>
    <w:rsid w:val="00A802B0"/>
    <w:rsid w:val="00A858FA"/>
    <w:rsid w:val="00AB43EE"/>
    <w:rsid w:val="00AC2EC9"/>
    <w:rsid w:val="00AD324E"/>
    <w:rsid w:val="00AF1707"/>
    <w:rsid w:val="00B30EC5"/>
    <w:rsid w:val="00B54D44"/>
    <w:rsid w:val="00B6385A"/>
    <w:rsid w:val="00B65E30"/>
    <w:rsid w:val="00BA7450"/>
    <w:rsid w:val="00BC188E"/>
    <w:rsid w:val="00C062FC"/>
    <w:rsid w:val="00C06DBF"/>
    <w:rsid w:val="00C06ED3"/>
    <w:rsid w:val="00C11B8F"/>
    <w:rsid w:val="00C2355E"/>
    <w:rsid w:val="00C34B29"/>
    <w:rsid w:val="00C51271"/>
    <w:rsid w:val="00CB7B62"/>
    <w:rsid w:val="00CC68C6"/>
    <w:rsid w:val="00CE2415"/>
    <w:rsid w:val="00CF58F6"/>
    <w:rsid w:val="00D474DE"/>
    <w:rsid w:val="00D766C4"/>
    <w:rsid w:val="00D85C32"/>
    <w:rsid w:val="00D921F1"/>
    <w:rsid w:val="00D930C7"/>
    <w:rsid w:val="00DD3A69"/>
    <w:rsid w:val="00DF319E"/>
    <w:rsid w:val="00E1485F"/>
    <w:rsid w:val="00E72136"/>
    <w:rsid w:val="00F00766"/>
    <w:rsid w:val="00F01437"/>
    <w:rsid w:val="00F22BF1"/>
    <w:rsid w:val="00F47BDF"/>
    <w:rsid w:val="01EF3AF4"/>
    <w:rsid w:val="0431671D"/>
    <w:rsid w:val="043F6FC5"/>
    <w:rsid w:val="05930FF4"/>
    <w:rsid w:val="070827FB"/>
    <w:rsid w:val="09572537"/>
    <w:rsid w:val="0A3D5EFF"/>
    <w:rsid w:val="0B643A28"/>
    <w:rsid w:val="0B76392C"/>
    <w:rsid w:val="0F613C29"/>
    <w:rsid w:val="0F8766DA"/>
    <w:rsid w:val="110851AE"/>
    <w:rsid w:val="11CF1C96"/>
    <w:rsid w:val="12E070F9"/>
    <w:rsid w:val="12FE4D8B"/>
    <w:rsid w:val="13980709"/>
    <w:rsid w:val="166938A9"/>
    <w:rsid w:val="1977008B"/>
    <w:rsid w:val="199539CA"/>
    <w:rsid w:val="1A381F10"/>
    <w:rsid w:val="1B28623F"/>
    <w:rsid w:val="1C6D746C"/>
    <w:rsid w:val="1D142C4C"/>
    <w:rsid w:val="1E25256F"/>
    <w:rsid w:val="1F262338"/>
    <w:rsid w:val="213B5E42"/>
    <w:rsid w:val="223D4E10"/>
    <w:rsid w:val="235B390E"/>
    <w:rsid w:val="285B2688"/>
    <w:rsid w:val="2C8766FE"/>
    <w:rsid w:val="2DE2344A"/>
    <w:rsid w:val="2E8157DC"/>
    <w:rsid w:val="31B55063"/>
    <w:rsid w:val="31DC797F"/>
    <w:rsid w:val="32265AA2"/>
    <w:rsid w:val="32BD0DAD"/>
    <w:rsid w:val="32E70612"/>
    <w:rsid w:val="338D58F0"/>
    <w:rsid w:val="34793D52"/>
    <w:rsid w:val="389E51DD"/>
    <w:rsid w:val="390F70C9"/>
    <w:rsid w:val="3B1705E5"/>
    <w:rsid w:val="3D152858"/>
    <w:rsid w:val="3D5D7415"/>
    <w:rsid w:val="3D65451B"/>
    <w:rsid w:val="3E13336D"/>
    <w:rsid w:val="3E8A1953"/>
    <w:rsid w:val="4187580D"/>
    <w:rsid w:val="43853221"/>
    <w:rsid w:val="43E635E1"/>
    <w:rsid w:val="445A7D40"/>
    <w:rsid w:val="44D81A76"/>
    <w:rsid w:val="45C07F75"/>
    <w:rsid w:val="469C4C85"/>
    <w:rsid w:val="486D4ED3"/>
    <w:rsid w:val="4A110596"/>
    <w:rsid w:val="4A275331"/>
    <w:rsid w:val="4AB17966"/>
    <w:rsid w:val="4AB34B18"/>
    <w:rsid w:val="4B0B5B92"/>
    <w:rsid w:val="50282CF3"/>
    <w:rsid w:val="51837164"/>
    <w:rsid w:val="51F1524A"/>
    <w:rsid w:val="52885F8E"/>
    <w:rsid w:val="54F77CF7"/>
    <w:rsid w:val="58C22D3E"/>
    <w:rsid w:val="59BD4585"/>
    <w:rsid w:val="5DDD2180"/>
    <w:rsid w:val="60097E9F"/>
    <w:rsid w:val="608A1A1F"/>
    <w:rsid w:val="60BF6CF4"/>
    <w:rsid w:val="627563F2"/>
    <w:rsid w:val="637B1D64"/>
    <w:rsid w:val="646C087C"/>
    <w:rsid w:val="66100C18"/>
    <w:rsid w:val="68CB125C"/>
    <w:rsid w:val="6A211063"/>
    <w:rsid w:val="6C1B20C5"/>
    <w:rsid w:val="6CE57590"/>
    <w:rsid w:val="6E2711F5"/>
    <w:rsid w:val="6E2A3074"/>
    <w:rsid w:val="6F39543C"/>
    <w:rsid w:val="6FA3268F"/>
    <w:rsid w:val="713779A1"/>
    <w:rsid w:val="742E343C"/>
    <w:rsid w:val="76F346C7"/>
    <w:rsid w:val="77127C2A"/>
    <w:rsid w:val="78C02FE2"/>
    <w:rsid w:val="792F40AF"/>
    <w:rsid w:val="79C10641"/>
    <w:rsid w:val="7C091F3A"/>
    <w:rsid w:val="7D8E0DEC"/>
    <w:rsid w:val="7D8E26F7"/>
    <w:rsid w:val="7E6B6E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9"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line="317" w:lineRule="auto"/>
      <w:ind w:firstLine="400" w:firstLineChars="200"/>
      <w:jc w:val="both"/>
    </w:pPr>
    <w:rPr>
      <w:rFonts w:ascii="Times New Roman" w:hAnsi="Times New Roman" w:eastAsia="仿宋" w:cs="Times New Roman"/>
      <w:sz w:val="28"/>
      <w:szCs w:val="28"/>
      <w:lang w:val="zh-CN" w:eastAsia="zh-CN" w:bidi="zh-CN"/>
    </w:rPr>
  </w:style>
  <w:style w:type="paragraph" w:styleId="2">
    <w:name w:val="heading 1"/>
    <w:basedOn w:val="1"/>
    <w:next w:val="1"/>
    <w:link w:val="38"/>
    <w:qFormat/>
    <w:uiPriority w:val="1"/>
    <w:pPr>
      <w:spacing w:after="50" w:afterLines="50" w:line="317" w:lineRule="auto"/>
      <w:ind w:left="737" w:right="1009"/>
      <w:jc w:val="center"/>
      <w:outlineLvl w:val="0"/>
    </w:pPr>
    <w:rPr>
      <w:rFonts w:ascii="微软雅黑" w:hAnsi="微软雅黑" w:eastAsia="黑体" w:cs="微软雅黑"/>
      <w:bCs/>
      <w:sz w:val="32"/>
      <w:szCs w:val="44"/>
    </w:rPr>
  </w:style>
  <w:style w:type="paragraph" w:styleId="3">
    <w:name w:val="heading 2"/>
    <w:basedOn w:val="1"/>
    <w:next w:val="1"/>
    <w:link w:val="29"/>
    <w:qFormat/>
    <w:uiPriority w:val="1"/>
    <w:pPr>
      <w:spacing w:line="317" w:lineRule="auto"/>
      <w:ind w:left="0"/>
      <w:outlineLvl w:val="1"/>
    </w:pPr>
    <w:rPr>
      <w:rFonts w:ascii="Times New Roman" w:hAnsi="Times New Roman" w:eastAsia="黑体" w:cs="黑体"/>
      <w:sz w:val="30"/>
      <w:szCs w:val="32"/>
    </w:rPr>
  </w:style>
  <w:style w:type="paragraph" w:styleId="4">
    <w:name w:val="heading 3"/>
    <w:basedOn w:val="1"/>
    <w:next w:val="1"/>
    <w:link w:val="30"/>
    <w:unhideWhenUsed/>
    <w:qFormat/>
    <w:uiPriority w:val="9"/>
    <w:pPr>
      <w:keepNext/>
      <w:keepLines/>
      <w:spacing w:line="317" w:lineRule="auto"/>
      <w:ind w:firstLine="400" w:firstLineChars="200"/>
      <w:outlineLvl w:val="2"/>
    </w:pPr>
    <w:rPr>
      <w:rFonts w:ascii="Times New Roman" w:hAnsi="Times New Roman" w:eastAsia="黑体"/>
      <w:b/>
      <w:bCs/>
      <w:sz w:val="28"/>
      <w:szCs w:val="32"/>
    </w:rPr>
  </w:style>
  <w:style w:type="paragraph" w:styleId="5">
    <w:name w:val="heading 4"/>
    <w:basedOn w:val="1"/>
    <w:next w:val="1"/>
    <w:link w:val="34"/>
    <w:unhideWhenUsed/>
    <w:qFormat/>
    <w:uiPriority w:val="0"/>
    <w:pPr>
      <w:keepNext/>
      <w:keepLines/>
      <w:spacing w:beforeLines="0" w:beforeAutospacing="0" w:afterLines="0" w:afterAutospacing="0" w:line="317" w:lineRule="auto"/>
      <w:outlineLvl w:val="3"/>
    </w:pPr>
    <w:rPr>
      <w:rFonts w:ascii="Times New Roman" w:hAnsi="Times New Roman" w:eastAsia="宋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7">
    <w:name w:val="Note Heading"/>
    <w:basedOn w:val="1"/>
    <w:next w:val="1"/>
    <w:qFormat/>
    <w:uiPriority w:val="0"/>
    <w:pPr>
      <w:jc w:val="center"/>
    </w:pPr>
    <w:rPr>
      <w:rFonts w:ascii="Times New Roman" w:hAnsi="Times New Roman"/>
    </w:rPr>
  </w:style>
  <w:style w:type="paragraph" w:styleId="8">
    <w:name w:val="Body Text"/>
    <w:basedOn w:val="1"/>
    <w:link w:val="25"/>
    <w:qFormat/>
    <w:uiPriority w:val="1"/>
    <w:pPr>
      <w:spacing w:line="360" w:lineRule="auto"/>
      <w:ind w:left="120"/>
      <w:jc w:val="both"/>
    </w:pPr>
    <w:rPr>
      <w:rFonts w:eastAsia="仿宋"/>
      <w:sz w:val="28"/>
      <w:szCs w:val="28"/>
    </w:rPr>
  </w:style>
  <w:style w:type="paragraph" w:styleId="9">
    <w:name w:val="toc 3"/>
    <w:basedOn w:val="1"/>
    <w:next w:val="1"/>
    <w:uiPriority w:val="0"/>
    <w:pPr>
      <w:ind w:left="840" w:leftChars="400"/>
    </w:pPr>
  </w:style>
  <w:style w:type="paragraph" w:styleId="10">
    <w:name w:val="footer"/>
    <w:basedOn w:val="1"/>
    <w:link w:val="27"/>
    <w:qFormat/>
    <w:uiPriority w:val="99"/>
    <w:pPr>
      <w:tabs>
        <w:tab w:val="center" w:pos="4153"/>
        <w:tab w:val="right" w:pos="8306"/>
      </w:tabs>
      <w:snapToGrid w:val="0"/>
    </w:pPr>
    <w:rPr>
      <w:sz w:val="18"/>
      <w:szCs w:val="18"/>
    </w:rPr>
  </w:style>
  <w:style w:type="paragraph" w:styleId="11">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style>
  <w:style w:type="paragraph" w:styleId="13">
    <w:name w:val="footnote text"/>
    <w:basedOn w:val="1"/>
    <w:semiHidden/>
    <w:unhideWhenUsed/>
    <w:qFormat/>
    <w:uiPriority w:val="0"/>
    <w:pPr>
      <w:snapToGrid w:val="0"/>
      <w:jc w:val="left"/>
    </w:pPr>
    <w:rPr>
      <w:sz w:val="18"/>
    </w:rPr>
  </w:style>
  <w:style w:type="paragraph" w:styleId="14">
    <w:name w:val="toc 2"/>
    <w:basedOn w:val="1"/>
    <w:next w:val="1"/>
    <w:uiPriority w:val="0"/>
    <w:pPr>
      <w:ind w:left="420" w:leftChars="200"/>
    </w:pPr>
  </w:style>
  <w:style w:type="paragraph" w:styleId="15">
    <w:name w:val="Normal (Web)"/>
    <w:basedOn w:val="1"/>
    <w:qFormat/>
    <w:uiPriority w:val="0"/>
    <w:pPr>
      <w:spacing w:before="0" w:beforeAutospacing="1" w:after="0" w:afterAutospacing="1"/>
      <w:ind w:left="0" w:right="0"/>
      <w:jc w:val="left"/>
    </w:pPr>
    <w:rPr>
      <w:kern w:val="0"/>
      <w:sz w:val="24"/>
      <w:lang w:val="en-US" w:eastAsia="zh-CN" w:bidi="ar"/>
    </w:rPr>
  </w:style>
  <w:style w:type="table" w:styleId="17">
    <w:name w:val="Table Grid"/>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qFormat/>
    <w:uiPriority w:val="0"/>
    <w:rPr>
      <w:color w:val="0000FF"/>
      <w:u w:val="single"/>
    </w:rPr>
  </w:style>
  <w:style w:type="character" w:styleId="20">
    <w:name w:val="footnote reference"/>
    <w:qFormat/>
    <w:uiPriority w:val="0"/>
    <w:rPr>
      <w:vertAlign w:val="superscript"/>
    </w:rPr>
  </w:style>
  <w:style w:type="table" w:customStyle="1" w:styleId="21">
    <w:name w:val="Table Normal"/>
    <w:semiHidden/>
    <w:unhideWhenUsed/>
    <w:qFormat/>
    <w:uiPriority w:val="2"/>
    <w:tblPr>
      <w:tblCellMar>
        <w:top w:w="0" w:type="dxa"/>
        <w:left w:w="0" w:type="dxa"/>
        <w:bottom w:w="0" w:type="dxa"/>
        <w:right w:w="0" w:type="dxa"/>
      </w:tblCellMar>
    </w:tblPr>
  </w:style>
  <w:style w:type="paragraph" w:styleId="22">
    <w:name w:val="List Paragraph"/>
    <w:basedOn w:val="1"/>
    <w:qFormat/>
    <w:uiPriority w:val="1"/>
    <w:pPr>
      <w:ind w:left="1034" w:hanging="491"/>
    </w:pPr>
    <w:rPr>
      <w:rFonts w:ascii="宋体" w:hAnsi="宋体" w:eastAsia="宋体" w:cs="宋体"/>
    </w:rPr>
  </w:style>
  <w:style w:type="paragraph" w:customStyle="1" w:styleId="23">
    <w:name w:val="Table Paragraph"/>
    <w:basedOn w:val="1"/>
    <w:qFormat/>
    <w:uiPriority w:val="1"/>
  </w:style>
  <w:style w:type="paragraph" w:customStyle="1" w:styleId="24">
    <w:name w:val="样式1"/>
    <w:basedOn w:val="1"/>
    <w:qFormat/>
    <w:uiPriority w:val="0"/>
    <w:pPr>
      <w:numPr>
        <w:ilvl w:val="0"/>
        <w:numId w:val="1"/>
      </w:numPr>
      <w:tabs>
        <w:tab w:val="left" w:pos="1004"/>
      </w:tabs>
      <w:spacing w:line="283" w:lineRule="auto"/>
      <w:ind w:right="258" w:firstLine="600"/>
    </w:pPr>
    <w:rPr>
      <w:rFonts w:hint="eastAsia" w:eastAsia="仿宋" w:cs="宋体"/>
      <w:spacing w:val="-19"/>
      <w:sz w:val="28"/>
    </w:rPr>
  </w:style>
  <w:style w:type="character" w:customStyle="1" w:styleId="25">
    <w:name w:val="正文文本 字符"/>
    <w:link w:val="8"/>
    <w:qFormat/>
    <w:uiPriority w:val="1"/>
    <w:rPr>
      <w:rFonts w:eastAsia="仿宋"/>
      <w:sz w:val="28"/>
      <w:szCs w:val="28"/>
    </w:rPr>
  </w:style>
  <w:style w:type="character" w:customStyle="1" w:styleId="26">
    <w:name w:val="页眉 字符"/>
    <w:basedOn w:val="18"/>
    <w:link w:val="11"/>
    <w:qFormat/>
    <w:uiPriority w:val="0"/>
    <w:rPr>
      <w:rFonts w:ascii="等线" w:hAnsi="等线" w:eastAsia="等线" w:cs="等线"/>
      <w:sz w:val="18"/>
      <w:szCs w:val="18"/>
      <w:lang w:val="zh-CN" w:bidi="zh-CN"/>
    </w:rPr>
  </w:style>
  <w:style w:type="character" w:customStyle="1" w:styleId="27">
    <w:name w:val="页脚 字符"/>
    <w:basedOn w:val="18"/>
    <w:link w:val="10"/>
    <w:qFormat/>
    <w:uiPriority w:val="99"/>
    <w:rPr>
      <w:rFonts w:ascii="等线" w:hAnsi="等线" w:eastAsia="等线" w:cs="等线"/>
      <w:sz w:val="18"/>
      <w:szCs w:val="18"/>
      <w:lang w:val="zh-CN" w:bidi="zh-CN"/>
    </w:rPr>
  </w:style>
  <w:style w:type="paragraph" w:customStyle="1" w:styleId="28">
    <w:name w:val="Revision"/>
    <w:hidden/>
    <w:semiHidden/>
    <w:qFormat/>
    <w:uiPriority w:val="99"/>
    <w:rPr>
      <w:rFonts w:ascii="等线" w:hAnsi="等线" w:eastAsia="等线" w:cs="等线"/>
      <w:sz w:val="22"/>
      <w:szCs w:val="22"/>
      <w:lang w:val="zh-CN" w:eastAsia="zh-CN" w:bidi="zh-CN"/>
    </w:rPr>
  </w:style>
  <w:style w:type="character" w:customStyle="1" w:styleId="29">
    <w:name w:val="标题 2 字符"/>
    <w:basedOn w:val="18"/>
    <w:link w:val="3"/>
    <w:qFormat/>
    <w:uiPriority w:val="1"/>
    <w:rPr>
      <w:rFonts w:ascii="Times New Roman" w:hAnsi="Times New Roman" w:eastAsia="黑体" w:cs="黑体"/>
      <w:sz w:val="30"/>
      <w:szCs w:val="32"/>
      <w:lang w:val="zh-CN" w:bidi="zh-CN"/>
    </w:rPr>
  </w:style>
  <w:style w:type="character" w:customStyle="1" w:styleId="30">
    <w:name w:val="标题 3 字符"/>
    <w:basedOn w:val="18"/>
    <w:link w:val="4"/>
    <w:qFormat/>
    <w:uiPriority w:val="9"/>
    <w:rPr>
      <w:rFonts w:ascii="Times New Roman" w:hAnsi="Times New Roman" w:eastAsia="黑体" w:cs="等线"/>
      <w:b/>
      <w:bCs/>
      <w:sz w:val="28"/>
      <w:szCs w:val="32"/>
      <w:lang w:val="zh-CN" w:bidi="zh-CN"/>
    </w:rPr>
  </w:style>
  <w:style w:type="paragraph" w:customStyle="1" w:styleId="31">
    <w:name w:val="样式1-表头"/>
    <w:qFormat/>
    <w:uiPriority w:val="0"/>
    <w:pPr>
      <w:jc w:val="center"/>
    </w:pPr>
    <w:rPr>
      <w:rFonts w:ascii="Times New Roman" w:hAnsi="Times New Roman" w:eastAsia="仿宋" w:cs="Times New Roman"/>
      <w:b/>
      <w:kern w:val="2"/>
      <w:sz w:val="24"/>
      <w:szCs w:val="22"/>
      <w:lang w:val="en-US" w:eastAsia="zh-CN" w:bidi="ar-SA"/>
    </w:rPr>
  </w:style>
  <w:style w:type="paragraph" w:customStyle="1" w:styleId="32">
    <w:name w:val="样式1-表格内文字"/>
    <w:qFormat/>
    <w:uiPriority w:val="0"/>
    <w:pPr>
      <w:spacing w:line="440" w:lineRule="exact"/>
      <w:jc w:val="center"/>
    </w:pPr>
    <w:rPr>
      <w:rFonts w:ascii="Times New Roman" w:hAnsi="Times New Roman" w:eastAsia="仿宋" w:cs="Times New Roman"/>
      <w:kern w:val="2"/>
      <w:sz w:val="24"/>
      <w:szCs w:val="24"/>
      <w:lang w:val="en-US" w:eastAsia="zh-CN" w:bidi="ar-SA"/>
    </w:rPr>
  </w:style>
  <w:style w:type="paragraph" w:customStyle="1" w:styleId="33">
    <w:name w:val="所有正文"/>
    <w:basedOn w:val="1"/>
    <w:qFormat/>
    <w:uiPriority w:val="0"/>
    <w:pPr>
      <w:spacing w:line="360" w:lineRule="exact"/>
      <w:ind w:firstLine="200" w:firstLineChars="200"/>
    </w:pPr>
    <w:rPr>
      <w:rFonts w:ascii="宋体" w:hAnsi="宋体" w:eastAsia="宋体" w:cs="Times New Roman"/>
      <w:sz w:val="24"/>
      <w:szCs w:val="24"/>
    </w:rPr>
  </w:style>
  <w:style w:type="character" w:customStyle="1" w:styleId="34">
    <w:name w:val="标题 4 Char"/>
    <w:link w:val="5"/>
    <w:qFormat/>
    <w:uiPriority w:val="0"/>
    <w:rPr>
      <w:rFonts w:ascii="Times New Roman" w:hAnsi="Times New Roman" w:eastAsia="宋体"/>
      <w:b/>
      <w:sz w:val="28"/>
    </w:rPr>
  </w:style>
  <w:style w:type="character" w:customStyle="1" w:styleId="35">
    <w:name w:val="font21"/>
    <w:basedOn w:val="18"/>
    <w:qFormat/>
    <w:uiPriority w:val="0"/>
    <w:rPr>
      <w:rFonts w:ascii="宋体" w:hAnsi="宋体" w:eastAsia="宋体" w:cs="宋体"/>
      <w:color w:val="000000"/>
      <w:sz w:val="24"/>
      <w:szCs w:val="24"/>
      <w:u w:val="none"/>
    </w:rPr>
  </w:style>
  <w:style w:type="character" w:customStyle="1" w:styleId="36">
    <w:name w:val="font31"/>
    <w:basedOn w:val="18"/>
    <w:qFormat/>
    <w:uiPriority w:val="0"/>
    <w:rPr>
      <w:rFonts w:ascii="宋体" w:hAnsi="宋体" w:eastAsia="宋体" w:cs="宋体"/>
      <w:color w:val="000000"/>
      <w:sz w:val="22"/>
      <w:szCs w:val="22"/>
      <w:u w:val="none"/>
    </w:rPr>
  </w:style>
  <w:style w:type="character" w:customStyle="1" w:styleId="37">
    <w:name w:val="font41"/>
    <w:basedOn w:val="18"/>
    <w:qFormat/>
    <w:uiPriority w:val="0"/>
    <w:rPr>
      <w:rFonts w:ascii="宋体" w:hAnsi="宋体" w:eastAsia="宋体" w:cs="宋体"/>
      <w:color w:val="000000"/>
      <w:sz w:val="22"/>
      <w:szCs w:val="22"/>
      <w:u w:val="none"/>
    </w:rPr>
  </w:style>
  <w:style w:type="character" w:customStyle="1" w:styleId="38">
    <w:name w:val="标题 1 Char"/>
    <w:link w:val="2"/>
    <w:uiPriority w:val="1"/>
    <w:rPr>
      <w:rFonts w:ascii="微软雅黑" w:hAnsi="微软雅黑" w:eastAsia="黑体" w:cs="微软雅黑"/>
      <w:bCs/>
      <w:sz w:val="32"/>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svg"/><Relationship Id="rId12" Type="http://schemas.openxmlformats.org/officeDocument/2006/relationships/image" Target="media/image4.png"/><Relationship Id="rId11" Type="http://schemas.openxmlformats.org/officeDocument/2006/relationships/image" Target="media/image3.sv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D42523-88A1-4A19-AC54-7A4BE80DC7D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18933</Words>
  <Characters>19932</Characters>
  <Lines>76</Lines>
  <Paragraphs>21</Paragraphs>
  <TotalTime>42</TotalTime>
  <ScaleCrop>false</ScaleCrop>
  <LinksUpToDate>false</LinksUpToDate>
  <CharactersWithSpaces>20112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2023-02-27T00:52:00Z</dcterms:created>
  <dc:creator>王广琨</dc:creator>
  <cp:lastModifiedBy> 亚里士不可多得</cp:lastModifiedBy>
  <cp:lastPrinted>2023-02-22T07:30:00Z</cp:lastPrinted>
  <dcterms:modified xsi:type="dcterms:W3CDTF">2025-04-03T00:56:08Z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2021-12-31T00:00:00Z</vt:filetime>
  </property>
  <property fmtid="{D5CDD505-2E9C-101B-9397-08002B2CF9AE}" pid="3" name="Creator">
    <vt:lpwstr>WPS 文字</vt:lpwstr>
  </property>
  <property fmtid="{D5CDD505-2E9C-101B-9397-08002B2CF9AE}" pid="4" name="LastSaved">
    <vt:filetime>2023-02-20T00:00:00Z</vt:filetime>
  </property>
  <property fmtid="{D5CDD505-2E9C-101B-9397-08002B2CF9AE}" pid="5" name="KSOProductBuildVer">
    <vt:lpwstr>2052-12.1.0.20305</vt:lpwstr>
  </property>
  <property fmtid="{D5CDD505-2E9C-101B-9397-08002B2CF9AE}" pid="6" name="ICV">
    <vt:lpwstr>684F9B3D13BF4C2DB72FCF8CF1291B7B_13</vt:lpwstr>
  </property>
  <property fmtid="{D5CDD505-2E9C-101B-9397-08002B2CF9AE}" pid="7" name="KSOTemplateDocerSaveRecord">
    <vt:lpwstr>eyJoZGlkIjoiM2ZmZWUwMDE4ZjZmNTc5YzI3OWYyNTVjZTM0NjljNmQiLCJ1c2VySWQiOiI5MzA1NTg3MTAifQ==</vt:lpwstr>
  </property>
</Properties>
</file>