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461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both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</w:p>
    <w:p w14:paraId="20131022"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auto"/>
        <w:jc w:val="center"/>
        <w:textAlignment w:val="baseline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2025年度国家广播电视总局部级</w:t>
      </w:r>
    </w:p>
    <w:p w14:paraId="2D9DD9B7"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auto"/>
        <w:jc w:val="center"/>
        <w:textAlignment w:val="baseline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社科研究项目选题</w:t>
      </w:r>
    </w:p>
    <w:p w14:paraId="365DE1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1.广播电视和网络视听精品创作生态研究</w:t>
      </w:r>
    </w:p>
    <w:p w14:paraId="105301A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研究要求:系统分析现状、问题,按照出成果和出人才相结合、抓作品和抓环境相贯通的要求,研究如何体系化施策,从管理服务、主体培育、扶持评优推优、人才培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养引导、版权保护、规范竞争秩序等方面进一步营造有活力、有秩序的内容生态。</w:t>
      </w:r>
    </w:p>
    <w:p w14:paraId="25FCF8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2.中国纪录片高质量发展研究</w:t>
      </w:r>
    </w:p>
    <w:p w14:paraId="3BA360E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研究要术:从创作、传播、环境等方面,调研总结国内外纪录片发展现状、经验和问题,探索中国纪录片高质量发展的路径。</w:t>
      </w:r>
    </w:p>
    <w:p w14:paraId="407BF8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3.中国动画片高质量发展研究</w:t>
      </w:r>
    </w:p>
    <w:p w14:paraId="6F92E1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研究要求:从创作、传播、环境等方面,调研总结国内外动画片发展现状、经验和问题,探索中国动画片高质量发展的路径。</w:t>
      </w:r>
    </w:p>
    <w:p w14:paraId="4594FCA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4.广播电视媒体系统性变革研究</w:t>
      </w:r>
    </w:p>
    <w:p w14:paraId="042264A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研究要求:围绕信息化条件下推进广播电视媒体组织架构、管理流程、运营模式、话语体系、媒体形态、平台技术等变草,从采编制作、播出传输、终端呈现、接收服务、监测监管等不同环节,从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国家、</w:t>
      </w:r>
      <w:r>
        <w:rPr>
          <w:rFonts w:hint="eastAsia" w:ascii="仿宋" w:hAnsi="仿宋" w:eastAsia="仿宋" w:cs="仿宋"/>
          <w:sz w:val="28"/>
          <w:szCs w:val="28"/>
        </w:rPr>
        <w:t>省(区、市)、广播电视媒体等不同层级,从网上网下、大屏小屏等不同场景业态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。研究广播电视媒体系统性变革路径。</w:t>
      </w:r>
    </w:p>
    <w:p w14:paraId="2F6E94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5.广播电视全媒体生产传播工作机制和评价体系研究</w:t>
      </w:r>
    </w:p>
    <w:p w14:paraId="70F883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研究要求:研究如何建立有利于新技术使用、新应用创新、新业态发展、全媒体生产传播的高效运转的组织领导机制、运行管理机制、保障机制,如何建立健全遵循全媒体生产传播的考核、评价和激励机制。</w:t>
      </w:r>
    </w:p>
    <w:p w14:paraId="03B20B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6.新型广电网络建设发展路径研究</w:t>
      </w:r>
    </w:p>
    <w:p w14:paraId="7831218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研究要求:国绕“特色鲜明、技术先进、安全可靠”的要求,研究如何建设发展涵盖基础设施、内容服务、监测监管“三张网”的新型广电网络,实现主流奥论传播、公共服务惠民、数字文化赋能、综合信息服务、国家应急支撑等功自E。</w:t>
      </w:r>
    </w:p>
    <w:p w14:paraId="0EBE0E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7.人工智能在广电视听领域的应用和管理研究</w:t>
      </w:r>
    </w:p>
    <w:p w14:paraId="60EBDD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研究要求:统筹发展和安全,研究分析人工智能在广电视听不同环节、不同领域、不同业态中创新应用发展,研究如何有效规范人工智能发展。</w:t>
      </w:r>
    </w:p>
    <w:p w14:paraId="77EA7D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8.网络视听节目服务主体持续健康发展研究</w:t>
      </w:r>
    </w:p>
    <w:p w14:paraId="6B5C54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研究要求:分析网络视听节目服务主体的现状,分类研究提出未来的发展方向和路径,研究提出推动网络视听节目服务主体做大做优做强的政策举措。</w:t>
      </w:r>
    </w:p>
    <w:p w14:paraId="040DCA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9.网络视听综合治理体系研究</w:t>
      </w:r>
    </w:p>
    <w:p w14:paraId="6527257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研究要求:分析网络视听领域治理当前存在的间题,厘清网络视听领城治理的管理责任、管理对象、管理要求,从政策法规、标准规范、技术手段、体制机制等方面进行研究。</w:t>
      </w:r>
    </w:p>
    <w:p w14:paraId="2A0611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10.超高清端到端全链条产业生态和商业模式研究</w:t>
      </w:r>
    </w:p>
    <w:p w14:paraId="6C2D80C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研究要求:研究如何推动超高清在内容制播、网络传输、终端呈现、产业支撑等各环节实现端到端全链条升级,实现真正的超高清体验,培育可持续的产业生态和商业模式。</w:t>
      </w:r>
    </w:p>
    <w:p w14:paraId="268BF1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大屏小屏视听服务协同发展、提质升级研究</w:t>
      </w:r>
    </w:p>
    <w:p w14:paraId="314BDE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研究要求:立足大屏小屏发展实际,研究如何推动大屏小屏相互赋能、长短视频相互协同、主流煤体和商业媒体相互联动,更好统筹协同大屏体验优势和小屏便捷化、互动性等优势。</w:t>
      </w:r>
    </w:p>
    <w:p w14:paraId="64DFCB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12.基于实践的广电视听国际传播研究</w:t>
      </w:r>
    </w:p>
    <w:p w14:paraId="03ACCC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研究要求:系统梳理广电视听国际传播实践情况、多维度统计情况和经验做法,针对不同国家地区、不同领域,如何从内容供给、渠道拓展、主体培育等方面,进行系统布局并实现重点突破。</w:t>
      </w:r>
    </w:p>
    <w:p w14:paraId="20C3DA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55EDB6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3E8942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41603"/>
    <w:rsid w:val="1634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10"/>
      <w:szCs w:val="10"/>
      <w:lang w:val="en-US" w:eastAsia="en-US" w:bidi="ar-SA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0"/>
      <w:szCs w:val="10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2025-05-12T07:12:00Z</dcterms:created>
  <dc:creator>刘赵为</dc:creator>
  <cp:lastModifiedBy>刘赵为</cp:lastModifiedBy>
  <dcterms:modified xsi:type="dcterms:W3CDTF">2025-05-12T07:19:21Z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95FAAC6F194C47C4BB0B6623B10B48A3_11</vt:lpwstr>
  </property>
  <property fmtid="{D5CDD505-2E9C-101B-9397-08002B2CF9AE}" pid="4" name="KSOTemplateDocerSaveRecord">
    <vt:lpwstr>eyJoZGlkIjoiMDRjYjU4MDQ5NTVmNGZmYTI1ZmU4OGNkMzNkNTk2NWMiLCJ1c2VySWQiOiI3ODEzNjE4NjcifQ==</vt:lpwstr>
  </property>
</Properties>
</file>