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1C76">
      <w:pPr>
        <w:pStyle w:val="2"/>
        <w:spacing w:beforeLines="100" w:afterLines="100" w:line="440" w:lineRule="exact"/>
        <w:jc w:val="center"/>
        <w:rPr>
          <w:rFonts w:ascii="华文中宋" w:hAnsi="华文中宋" w:eastAsia="华文中宋" w:cs="黑体"/>
        </w:rPr>
      </w:pPr>
      <w:r>
        <w:rPr>
          <w:rFonts w:hint="eastAsia" w:ascii="华文中宋" w:hAnsi="华文中宋" w:eastAsia="华文中宋" w:cs="黑体"/>
        </w:rPr>
        <w:t>文学</w:t>
      </w:r>
      <w:r>
        <w:rPr>
          <w:rFonts w:hint="eastAsia" w:ascii="华文中宋" w:hAnsi="华文中宋" w:eastAsia="华文中宋" w:cs="黑体"/>
          <w:lang w:val="en-US" w:eastAsia="zh-CN"/>
        </w:rPr>
        <w:t>与传播学</w:t>
      </w:r>
      <w:r>
        <w:rPr>
          <w:rFonts w:hint="eastAsia" w:ascii="华文中宋" w:hAnsi="华文中宋" w:eastAsia="华文中宋" w:cs="黑体"/>
        </w:rPr>
        <w:t>院</w:t>
      </w:r>
      <w:r>
        <w:rPr>
          <w:rFonts w:hint="eastAsia" w:ascii="华文中宋" w:hAnsi="华文中宋" w:eastAsia="华文中宋" w:cs="黑体"/>
          <w:lang w:val="en-US" w:eastAsia="zh-CN"/>
        </w:rPr>
        <w:t>2024-2025</w:t>
      </w:r>
      <w:r>
        <w:rPr>
          <w:rFonts w:hint="eastAsia" w:ascii="华文中宋" w:hAnsi="华文中宋" w:eastAsia="华文中宋" w:cs="黑体"/>
        </w:rPr>
        <w:t>学年第</w:t>
      </w:r>
      <w:r>
        <w:rPr>
          <w:rFonts w:hint="eastAsia" w:ascii="华文中宋" w:hAnsi="华文中宋" w:eastAsia="华文中宋" w:cs="黑体"/>
          <w:lang w:eastAsia="zh-CN"/>
        </w:rPr>
        <w:t>一</w:t>
      </w:r>
      <w:r>
        <w:rPr>
          <w:rFonts w:hint="eastAsia" w:ascii="华文中宋" w:hAnsi="华文中宋" w:eastAsia="华文中宋" w:cs="黑体"/>
        </w:rPr>
        <w:t>学期</w:t>
      </w:r>
    </w:p>
    <w:p w14:paraId="155B8E0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440" w:lineRule="exact"/>
        <w:ind w:firstLine="0" w:firstLineChars="0"/>
        <w:jc w:val="center"/>
        <w:textAlignment w:val="auto"/>
        <w:rPr>
          <w:rFonts w:ascii="华文中宋" w:hAnsi="华文中宋" w:eastAsia="华文中宋" w:cs="黑体"/>
        </w:rPr>
      </w:pPr>
      <w:r>
        <w:rPr>
          <w:rFonts w:hint="eastAsia" w:ascii="华文中宋" w:hAnsi="华文中宋" w:eastAsia="华文中宋" w:cs="黑体"/>
          <w:lang w:eastAsia="zh-CN"/>
        </w:rPr>
        <w:t>学</w:t>
      </w:r>
      <w:r>
        <w:rPr>
          <w:rFonts w:hint="eastAsia" w:ascii="华文中宋" w:hAnsi="华文中宋" w:eastAsia="华文中宋" w:cs="黑体"/>
        </w:rPr>
        <w:t>生转专业</w:t>
      </w:r>
      <w:r>
        <w:rPr>
          <w:rFonts w:hint="eastAsia" w:ascii="华文中宋" w:hAnsi="华文中宋" w:eastAsia="华文中宋" w:cs="黑体"/>
          <w:lang w:eastAsia="zh-CN"/>
        </w:rPr>
        <w:t>工作</w:t>
      </w:r>
      <w:r>
        <w:rPr>
          <w:rFonts w:hint="eastAsia" w:ascii="华文中宋" w:hAnsi="华文中宋" w:eastAsia="华文中宋" w:cs="黑体"/>
        </w:rPr>
        <w:t>方案</w:t>
      </w:r>
    </w:p>
    <w:p w14:paraId="2473872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根据《〈湖南女子学院普通全日制学生转专业管理办法〉（修订）》（湘女院行字〔2023〕98号）文件精神，及教务处《关于做好2024-2025学年转专业工作的通知》，特制定我院本学年的转专业方案。</w:t>
      </w:r>
    </w:p>
    <w:p w14:paraId="400110DF">
      <w:pPr>
        <w:widowControl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一、组织领导</w:t>
      </w:r>
    </w:p>
    <w:p w14:paraId="28CE1504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成立</w:t>
      </w:r>
      <w:r>
        <w:rPr>
          <w:rFonts w:hint="eastAsia" w:ascii="仿宋" w:hAnsi="仿宋" w:eastAsia="仿宋" w:cs="仿宋"/>
          <w:sz w:val="28"/>
          <w:szCs w:val="28"/>
        </w:rPr>
        <w:t>湖南女子学院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文学与传播学院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学年转专业工作领导小组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C080DAD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：刘琼、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朱建军</w:t>
      </w:r>
    </w:p>
    <w:p w14:paraId="2E1A9ACF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副组长：</w:t>
      </w:r>
      <w:r>
        <w:rPr>
          <w:rFonts w:hint="eastAsia" w:ascii="仿宋" w:hAnsi="仿宋" w:eastAsia="仿宋" w:cs="仿宋"/>
          <w:sz w:val="28"/>
          <w:szCs w:val="28"/>
        </w:rPr>
        <w:t>邹远志、白蓝、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李婷婷</w:t>
      </w:r>
    </w:p>
    <w:p w14:paraId="02A87AC1">
      <w:pPr>
        <w:widowControl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　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周娇燕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、李艺晨、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邹巧妹、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莫阳、彭琪珺、黄超楠、宁波、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王佳毅、林伊涵</w:t>
      </w:r>
    </w:p>
    <w:p w14:paraId="4EC6673B">
      <w:pPr>
        <w:widowControl/>
        <w:spacing w:line="44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进程安排</w:t>
      </w:r>
    </w:p>
    <w:p w14:paraId="3DEAEE80">
      <w:pPr>
        <w:widowControl/>
        <w:spacing w:line="44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（一）制定工作方案</w:t>
      </w:r>
    </w:p>
    <w:p w14:paraId="1861D311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1.12月4-6日，确定学院转专业方案。</w:t>
      </w:r>
    </w:p>
    <w:p w14:paraId="25F8A94D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2.12月7-10日，按年级确定各专业允许转入和转出人数（附件2）。</w:t>
      </w:r>
    </w:p>
    <w:p w14:paraId="187F02BD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3.12月11日－20日，公示转专业方案及各专业允许转入和转出人数。</w:t>
      </w:r>
    </w:p>
    <w:p w14:paraId="09EEC658">
      <w:pPr>
        <w:widowControl/>
        <w:spacing w:line="44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（二）学生申请</w:t>
      </w:r>
    </w:p>
    <w:p w14:paraId="5383DBDA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2025年1月5日前，有意向转专业的学生向文学与传播学院提出转专业申请，并填报《湖南女子学院学生专业调整申请表》（附表3）</w:t>
      </w:r>
      <w:r>
        <w:rPr>
          <w:rFonts w:hint="eastAsia" w:ascii="仿宋" w:hAnsi="仿宋" w:eastAsia="仿宋" w:cs="仿宋"/>
          <w:bCs/>
          <w:sz w:val="28"/>
          <w:szCs w:val="28"/>
        </w:rPr>
        <w:t>和相关证明材料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 w14:paraId="1F7FF308">
      <w:pPr>
        <w:widowControl/>
        <w:spacing w:line="44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（三）二级学院审核</w:t>
      </w:r>
    </w:p>
    <w:p w14:paraId="1B72926C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1.转出初审：</w:t>
      </w:r>
    </w:p>
    <w:p w14:paraId="7BC0D9A7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（1）1月8日前，文学与传播学院审核提出转出学生的资格初审。</w:t>
      </w:r>
    </w:p>
    <w:p w14:paraId="1EA06C0D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（2）1月10日，初审公示无异议后，文学与传播学院将签字盖章后的附表4等材料提交至教务处。 </w:t>
      </w:r>
    </w:p>
    <w:p w14:paraId="4DD199E2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2.转入复审：</w:t>
      </w:r>
    </w:p>
    <w:p w14:paraId="0B7A7E1C">
      <w:pPr>
        <w:widowControl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（1）2月20日前，接收所有符合教务处要求的申请转入学院的学生名单。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（填写“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附表5：湖南女子学院专业调整拟转入学生名单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”（含纸质稿和电子版）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</w:p>
    <w:p w14:paraId="08E37F8A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（2）2月25日前，完成转入学生的复审及面试并公示。</w:t>
      </w:r>
    </w:p>
    <w:p w14:paraId="301B0719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（3）2月27日前，完成复审及面试合格的转入学生的公示并提交名单，上报教务处学籍科。</w:t>
      </w:r>
    </w:p>
    <w:p w14:paraId="312DD423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3.办理学籍异动</w:t>
      </w:r>
    </w:p>
    <w:p w14:paraId="6E556BAA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教务处向本学院通报学校会议审议结果后，学院通知学生通过教务系统提交转专业申请，转出和转入学院教务办及时审核转专业学生异动申请后，提交教务处学籍科审核完成异动。</w:t>
      </w:r>
    </w:p>
    <w:p w14:paraId="10C8DFBA">
      <w:pPr>
        <w:widowControl/>
        <w:spacing w:line="44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三、其他</w:t>
      </w:r>
    </w:p>
    <w:p w14:paraId="098A7EBE">
      <w:pPr>
        <w:widowControl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1.根据教务处下学期的通知要求，学生通过教务系统提交转专业申请，由学院教科办审核后提交教务处，教务处学籍科审核完成网上学籍异动。</w:t>
      </w:r>
    </w:p>
    <w:p w14:paraId="4806284A">
      <w:pPr>
        <w:widowControl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所有材料的公示期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7天，通过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与传播学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院网站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进行公示。</w:t>
      </w:r>
    </w:p>
    <w:p w14:paraId="64C9F301">
      <w:pPr>
        <w:widowControl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在学校相关会议审议通过转专业学生名单前，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所有学生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不得提前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拟转入专业学习。</w:t>
      </w:r>
    </w:p>
    <w:p w14:paraId="25B82274">
      <w:pPr>
        <w:widowControl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转专业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的所有材料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由文学与传播学院教科办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进行整理存档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5F60996B">
      <w:pPr>
        <w:widowControl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25AFC094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附件1：文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与传播学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本科生转专业考核办法</w:t>
      </w:r>
    </w:p>
    <w:p w14:paraId="4B4D1876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附表2：湖南女子学院学生转专业计划</w:t>
      </w:r>
    </w:p>
    <w:p w14:paraId="166DA180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附表3：湖南女子学院学生专业调整申请表</w:t>
      </w:r>
    </w:p>
    <w:p w14:paraId="68A92C43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附表4：湖南女子学院专业调整拟转出学生名单</w:t>
      </w:r>
    </w:p>
    <w:p w14:paraId="12F36DD1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附表5：湖南女子学院专业调整拟转入学生名单</w:t>
      </w:r>
    </w:p>
    <w:p w14:paraId="56B13D2E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A4F8536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4145646">
      <w:pPr>
        <w:widowControl/>
        <w:spacing w:line="440" w:lineRule="exac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文学与传播学院</w:t>
      </w:r>
    </w:p>
    <w:p w14:paraId="0BC82BC8">
      <w:pPr>
        <w:widowControl/>
        <w:spacing w:line="440" w:lineRule="exact"/>
        <w:jc w:val="right"/>
        <w:rPr>
          <w:rFonts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FEF91A8">
      <w:pPr>
        <w:widowControl/>
        <w:spacing w:beforeLines="50" w:afterLines="50" w:line="480" w:lineRule="exact"/>
        <w:ind w:firstLine="602" w:firstLineChars="200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DF775CF">
      <w:pPr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br w:type="page"/>
      </w:r>
    </w:p>
    <w:p w14:paraId="3A6138B9">
      <w:pPr>
        <w:widowControl/>
        <w:spacing w:beforeLines="50" w:afterLines="50" w:line="480" w:lineRule="exact"/>
        <w:ind w:firstLine="560" w:firstLineChars="200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 w14:paraId="221E2507">
      <w:pPr>
        <w:widowControl/>
        <w:spacing w:beforeLines="50" w:afterLines="50" w:line="480" w:lineRule="exact"/>
        <w:ind w:firstLine="602" w:firstLineChars="200"/>
        <w:jc w:val="center"/>
        <w:rPr>
          <w:rFonts w:hint="default" w:ascii="黑体" w:hAnsi="黑体" w:eastAsia="黑体" w:cs="黑体"/>
          <w:b/>
          <w:bCs/>
          <w:sz w:val="30"/>
          <w:szCs w:val="30"/>
          <w:highlight w:val="red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文学与传播学院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本科生转专业考核办法</w:t>
      </w:r>
    </w:p>
    <w:p w14:paraId="617DF278">
      <w:pPr>
        <w:spacing w:line="480" w:lineRule="exact"/>
        <w:ind w:firstLine="562" w:firstLineChars="200"/>
        <w:jc w:val="left"/>
        <w:rPr>
          <w:rFonts w:ascii="仿宋_GB2312" w:eastAsia="仿宋_GB2312" w:cs="宋体"/>
          <w:b/>
          <w:sz w:val="28"/>
          <w:szCs w:val="28"/>
        </w:rPr>
      </w:pPr>
    </w:p>
    <w:p w14:paraId="7838B66E">
      <w:pPr>
        <w:spacing w:line="480" w:lineRule="exact"/>
        <w:ind w:firstLine="562" w:firstLineChars="200"/>
        <w:jc w:val="left"/>
        <w:rPr>
          <w:rFonts w:ascii="仿宋_GB2312" w:eastAsia="仿宋_GB2312" w:cs="宋体"/>
          <w:b/>
          <w:sz w:val="28"/>
          <w:szCs w:val="28"/>
          <w:highlight w:val="none"/>
        </w:rPr>
      </w:pPr>
      <w:r>
        <w:rPr>
          <w:rFonts w:hint="eastAsia" w:ascii="仿宋_GB2312" w:eastAsia="仿宋_GB2312" w:cs="宋体"/>
          <w:b/>
          <w:sz w:val="28"/>
          <w:szCs w:val="28"/>
          <w:highlight w:val="none"/>
        </w:rPr>
        <w:t>一、转入考核办法</w:t>
      </w:r>
    </w:p>
    <w:p w14:paraId="545CDCE1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eastAsia="仿宋_GB2312" w:cs="宋体"/>
          <w:sz w:val="28"/>
          <w:szCs w:val="28"/>
          <w:highlight w:val="none"/>
        </w:rPr>
        <w:t>入学期间所修课程成绩必须全部为及格以上。</w:t>
      </w:r>
    </w:p>
    <w:p w14:paraId="0D477D95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eastAsia="仿宋_GB2312" w:cs="宋体"/>
          <w:sz w:val="28"/>
          <w:szCs w:val="28"/>
          <w:highlight w:val="none"/>
        </w:rPr>
        <w:t>有较强的语言表达能力，没有受过校级及以上处分。</w:t>
      </w:r>
    </w:p>
    <w:p w14:paraId="3C191FAC">
      <w:pPr>
        <w:widowControl/>
        <w:spacing w:line="44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eastAsia="仿宋_GB2312" w:cs="宋体"/>
          <w:sz w:val="28"/>
          <w:szCs w:val="28"/>
          <w:highlight w:val="none"/>
        </w:rPr>
        <w:t>考核方式：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考核形式以专业面试为主（含自我介绍、考官提问、小组讨论等）。主要考核专业基础知识，测查学生是否适合本专业学习。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初审合格者，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按照专业面试成绩从高到低确定转入名单。</w:t>
      </w:r>
    </w:p>
    <w:p w14:paraId="5C6A6713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eastAsia="仿宋_GB2312" w:cs="宋体"/>
          <w:sz w:val="28"/>
          <w:szCs w:val="28"/>
          <w:highlight w:val="none"/>
        </w:rPr>
        <w:t>原则上，转入名额累计不超过该专业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年级</w:t>
      </w:r>
      <w:r>
        <w:rPr>
          <w:rFonts w:hint="eastAsia" w:ascii="仿宋_GB2312" w:eastAsia="仿宋_GB2312" w:cs="宋体"/>
          <w:sz w:val="28"/>
          <w:szCs w:val="28"/>
          <w:highlight w:val="none"/>
        </w:rPr>
        <w:t>人数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的10</w:t>
      </w:r>
      <w:r>
        <w:rPr>
          <w:rFonts w:hint="eastAsia" w:ascii="仿宋_GB2312" w:eastAsia="仿宋_GB2312" w:cs="宋体"/>
          <w:sz w:val="28"/>
          <w:szCs w:val="28"/>
          <w:highlight w:val="none"/>
        </w:rPr>
        <w:t>%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最高不超过学校规定的15%</w:t>
      </w:r>
      <w:r>
        <w:rPr>
          <w:rFonts w:hint="eastAsia" w:ascii="仿宋_GB2312" w:eastAsia="仿宋_GB2312" w:cs="宋体"/>
          <w:color w:val="0000FF"/>
          <w:sz w:val="28"/>
          <w:szCs w:val="28"/>
          <w:highlight w:val="none"/>
        </w:rPr>
        <w:t>。</w:t>
      </w:r>
    </w:p>
    <w:p w14:paraId="78DFFB36">
      <w:pPr>
        <w:spacing w:beforeLines="50" w:afterLines="50" w:line="480" w:lineRule="exact"/>
        <w:ind w:firstLine="562" w:firstLineChars="200"/>
        <w:rPr>
          <w:rFonts w:ascii="仿宋_GB2312" w:eastAsia="仿宋_GB2312" w:cs="宋体"/>
          <w:b/>
          <w:sz w:val="28"/>
          <w:szCs w:val="28"/>
          <w:highlight w:val="none"/>
        </w:rPr>
      </w:pPr>
      <w:r>
        <w:rPr>
          <w:rFonts w:hint="eastAsia" w:ascii="仿宋_GB2312" w:eastAsia="仿宋_GB2312" w:cs="宋体"/>
          <w:b/>
          <w:sz w:val="28"/>
          <w:szCs w:val="28"/>
          <w:highlight w:val="none"/>
        </w:rPr>
        <w:t>二、转出考核办法</w:t>
      </w:r>
    </w:p>
    <w:p w14:paraId="2D541D97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eastAsia="仿宋_GB2312" w:cs="宋体"/>
          <w:sz w:val="28"/>
          <w:szCs w:val="28"/>
          <w:highlight w:val="none"/>
        </w:rPr>
        <w:t>拟</w:t>
      </w:r>
      <w:r>
        <w:rPr>
          <w:rFonts w:ascii="仿宋_GB2312" w:eastAsia="仿宋_GB2312" w:cs="宋体"/>
          <w:sz w:val="28"/>
          <w:szCs w:val="28"/>
          <w:highlight w:val="none"/>
        </w:rPr>
        <w:t>申请转</w:t>
      </w:r>
      <w:r>
        <w:rPr>
          <w:rFonts w:hint="eastAsia" w:ascii="仿宋_GB2312" w:eastAsia="仿宋_GB2312" w:cs="宋体"/>
          <w:sz w:val="28"/>
          <w:szCs w:val="28"/>
          <w:highlight w:val="none"/>
        </w:rPr>
        <w:t>出学生须</w:t>
      </w:r>
      <w:r>
        <w:rPr>
          <w:rFonts w:ascii="仿宋_GB2312" w:eastAsia="仿宋_GB2312" w:cs="宋体"/>
          <w:sz w:val="28"/>
          <w:szCs w:val="28"/>
          <w:highlight w:val="none"/>
        </w:rPr>
        <w:t>提交转出申请说明书和证明材料</w:t>
      </w:r>
      <w:r>
        <w:rPr>
          <w:rFonts w:hint="eastAsia" w:ascii="仿宋_GB2312" w:eastAsia="仿宋_GB2312" w:cs="宋体"/>
          <w:sz w:val="28"/>
          <w:szCs w:val="28"/>
          <w:highlight w:val="none"/>
        </w:rPr>
        <w:t>，分别由班级辅导员、系部、学院逐级审核，最后报学院党政联席会审议通过。</w:t>
      </w:r>
    </w:p>
    <w:p w14:paraId="092D628C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eastAsia="仿宋_GB2312" w:cs="宋体"/>
          <w:sz w:val="28"/>
          <w:szCs w:val="28"/>
          <w:highlight w:val="none"/>
        </w:rPr>
        <w:t>转入其他二级学院的考核办法按照相应转入学院的方案执行。</w:t>
      </w:r>
    </w:p>
    <w:p w14:paraId="6BABA581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  <w:highlight w:val="none"/>
        </w:rPr>
      </w:pPr>
    </w:p>
    <w:p w14:paraId="29A64F55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 w14:paraId="246DB213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 w14:paraId="30429040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 w14:paraId="1F61D554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 w14:paraId="2461A031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 w14:paraId="5FEADB2B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 w14:paraId="76232C1E"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 w14:paraId="2330AFE8">
      <w:pPr>
        <w:spacing w:line="480" w:lineRule="exact"/>
        <w:jc w:val="left"/>
        <w:rPr>
          <w:rFonts w:ascii="仿宋_GB2312" w:eastAsia="仿宋_GB2312" w:cs="宋体"/>
          <w:sz w:val="28"/>
          <w:szCs w:val="28"/>
        </w:rPr>
      </w:pPr>
    </w:p>
    <w:p w14:paraId="544ACFCF">
      <w:pPr>
        <w:spacing w:line="460" w:lineRule="exact"/>
        <w:rPr>
          <w:rFonts w:ascii="仿宋_GB2312" w:hAnsi="宋体" w:eastAsia="仿宋_GB2312"/>
          <w:color w:val="000000"/>
          <w:sz w:val="32"/>
          <w:szCs w:val="32"/>
        </w:rPr>
      </w:pPr>
    </w:p>
    <w:p w14:paraId="55D4F2C0">
      <w:pPr>
        <w:spacing w:line="460" w:lineRule="exact"/>
        <w:rPr>
          <w:rFonts w:ascii="仿宋_GB2312" w:hAnsi="宋体" w:eastAsia="仿宋_GB2312"/>
          <w:color w:val="000000"/>
          <w:sz w:val="32"/>
          <w:szCs w:val="32"/>
        </w:rPr>
      </w:pPr>
    </w:p>
    <w:p w14:paraId="6BD43378">
      <w:pPr>
        <w:spacing w:line="460" w:lineRule="exact"/>
        <w:rPr>
          <w:rFonts w:ascii="仿宋_GB2312" w:hAnsi="宋体" w:eastAsia="仿宋_GB2312"/>
          <w:color w:val="000000"/>
          <w:sz w:val="32"/>
          <w:szCs w:val="32"/>
        </w:rPr>
      </w:pPr>
    </w:p>
    <w:p w14:paraId="00C9CFDB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7F62B902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0A2829FC">
      <w:pPr>
        <w:spacing w:line="4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附表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 w14:paraId="64BC7E30">
      <w:pPr>
        <w:jc w:val="center"/>
        <w:rPr>
          <w:rFonts w:hint="eastAsia" w:ascii="华文中宋" w:hAnsi="华文中宋" w:eastAsia="华文中宋"/>
          <w:b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/>
          <w:color w:val="000000"/>
          <w:sz w:val="36"/>
          <w:szCs w:val="36"/>
          <w:lang w:val="en-US" w:eastAsia="zh-CN"/>
        </w:rPr>
        <w:t>文学与传播学院2024级</w:t>
      </w:r>
      <w:r>
        <w:rPr>
          <w:rFonts w:hint="default" w:ascii="Times New Roman" w:hAnsi="Times New Roman" w:eastAsia="华文中宋" w:cs="Times New Roman"/>
          <w:b/>
          <w:color w:val="000000"/>
          <w:sz w:val="36"/>
          <w:szCs w:val="36"/>
        </w:rPr>
        <w:t>学生转专业</w:t>
      </w:r>
      <w:r>
        <w:rPr>
          <w:rFonts w:hint="default" w:ascii="Times New Roman" w:hAnsi="Times New Roman" w:eastAsia="华文中宋" w:cs="Times New Roman"/>
          <w:b/>
          <w:color w:val="000000"/>
          <w:sz w:val="36"/>
          <w:szCs w:val="36"/>
          <w:lang w:val="en-US" w:eastAsia="zh-CN"/>
        </w:rPr>
        <w:t>计划</w:t>
      </w:r>
    </w:p>
    <w:p w14:paraId="0527B4CA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学院名称：</w:t>
      </w:r>
    </w:p>
    <w:tbl>
      <w:tblPr>
        <w:tblStyle w:val="7"/>
        <w:tblW w:w="48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366"/>
        <w:gridCol w:w="1800"/>
        <w:gridCol w:w="1733"/>
        <w:gridCol w:w="1559"/>
      </w:tblGrid>
      <w:tr w14:paraId="2299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pct"/>
            <w:shd w:val="clear" w:color="auto" w:fill="auto"/>
            <w:vAlign w:val="center"/>
          </w:tcPr>
          <w:p w14:paraId="214E5402"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A20A187"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4EE59B7C"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允许转出数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D412721">
            <w:pPr>
              <w:jc w:val="center"/>
              <w:rPr>
                <w:rFonts w:hint="default" w:ascii="Calibri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允许转入数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651E210">
            <w:pPr>
              <w:jc w:val="center"/>
              <w:rPr>
                <w:rFonts w:hint="eastAsia" w:ascii="Calibri" w:hAnsi="Calibri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 w14:paraId="6397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pct"/>
            <w:shd w:val="clear" w:color="auto" w:fill="auto"/>
            <w:vAlign w:val="center"/>
          </w:tcPr>
          <w:p w14:paraId="6F34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7E49F4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2024级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74D8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FF5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D8B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FE3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pct"/>
            <w:shd w:val="clear" w:color="auto" w:fill="auto"/>
            <w:vAlign w:val="center"/>
          </w:tcPr>
          <w:p w14:paraId="0F18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  <w:p w14:paraId="5C0D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（非师范）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910BA7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2024级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6921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BA1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AD8C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9A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pct"/>
            <w:shd w:val="clear" w:color="auto" w:fill="auto"/>
            <w:vAlign w:val="center"/>
          </w:tcPr>
          <w:p w14:paraId="17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  <w:p w14:paraId="05EDA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（师范）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B77157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2024级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6B4D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0D6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5F6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E1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pct"/>
            <w:shd w:val="clear" w:color="auto" w:fill="auto"/>
            <w:vAlign w:val="center"/>
          </w:tcPr>
          <w:p w14:paraId="6674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CC40E4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2024级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3A75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C2C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05F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D54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pct"/>
            <w:shd w:val="clear" w:color="auto" w:fill="auto"/>
            <w:vAlign w:val="center"/>
          </w:tcPr>
          <w:p w14:paraId="5944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时尚传播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C90A7B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2024级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1E51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61E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71B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C3C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pct"/>
            <w:shd w:val="clear" w:color="auto" w:fill="auto"/>
            <w:vAlign w:val="center"/>
          </w:tcPr>
          <w:p w14:paraId="2CF95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00E90B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2024级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6B3A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2BE5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7917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08D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pct"/>
            <w:shd w:val="clear" w:color="auto" w:fill="auto"/>
            <w:vAlign w:val="center"/>
          </w:tcPr>
          <w:p w14:paraId="6289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（非师范）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A239F5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2024级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3521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135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557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0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EBDF662">
      <w:pPr>
        <w:adjustRightInd w:val="0"/>
        <w:snapToGrid w:val="0"/>
        <w:rPr>
          <w:rFonts w:hint="default" w:ascii="Calibri" w:hAnsi="Calibri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仿宋_GB2312"/>
          <w:color w:val="000000"/>
          <w:sz w:val="28"/>
          <w:szCs w:val="28"/>
          <w:lang w:val="en-US" w:eastAsia="zh-CN"/>
        </w:rPr>
        <w:t>注：1.2023年级降转名额包括在上表名额之中。</w:t>
      </w:r>
    </w:p>
    <w:p w14:paraId="3460AD56">
      <w:pPr>
        <w:adjustRightInd w:val="0"/>
        <w:snapToGrid w:val="0"/>
        <w:ind w:firstLine="560" w:firstLineChars="200"/>
        <w:rPr>
          <w:rFonts w:ascii="Calibri" w:hAnsi="Calibri"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Calibri" w:hAnsi="Calibri" w:eastAsia="仿宋_GB2312"/>
          <w:color w:val="000000"/>
          <w:sz w:val="28"/>
          <w:szCs w:val="28"/>
        </w:rPr>
        <w:t>该表及对申请专业调整的学生的要求和测试方案由本学院存档。</w:t>
      </w:r>
    </w:p>
    <w:p w14:paraId="4A4EF547">
      <w:pPr>
        <w:rPr>
          <w:rFonts w:ascii="Calibri" w:hAnsi="Calibri"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/>
          <w:color w:val="000000"/>
          <w:sz w:val="28"/>
          <w:szCs w:val="28"/>
        </w:rPr>
        <w:t>填表人：                   学院负责人签字（公章）：</w:t>
      </w:r>
    </w:p>
    <w:p w14:paraId="605BA50C">
      <w:pPr>
        <w:jc w:val="right"/>
        <w:rPr>
          <w:rFonts w:ascii="Calibri" w:hAnsi="Calibri"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/>
          <w:color w:val="000000"/>
          <w:sz w:val="28"/>
          <w:szCs w:val="28"/>
        </w:rPr>
        <w:t xml:space="preserve">  年   月   日</w:t>
      </w:r>
    </w:p>
    <w:p w14:paraId="38465A37">
      <w:pPr>
        <w:jc w:val="left"/>
        <w:rPr>
          <w:rFonts w:ascii="仿宋_GB2312" w:hAnsi="华文中宋" w:eastAsia="仿宋_GB2312"/>
          <w:color w:val="000000"/>
          <w:sz w:val="32"/>
          <w:szCs w:val="32"/>
        </w:rPr>
      </w:pPr>
    </w:p>
    <w:p w14:paraId="422D5798">
      <w:pPr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 w14:paraId="46CE4AA5">
      <w:pPr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 w14:paraId="6EE98A14">
      <w:pPr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 w14:paraId="790517A0">
      <w:pPr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 w14:paraId="464CB21A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20ADBE0D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湖南女子学院学生专业调整申请表</w:t>
      </w:r>
    </w:p>
    <w:p w14:paraId="28F20AE2">
      <w:pPr>
        <w:jc w:val="center"/>
        <w:rPr>
          <w:rFonts w:ascii="Calibri" w:hAnsi="Calibri" w:eastAsia="华文中宋"/>
          <w:color w:val="auto"/>
          <w:sz w:val="10"/>
          <w:szCs w:val="10"/>
        </w:rPr>
      </w:pPr>
    </w:p>
    <w:p w14:paraId="3A27A51E">
      <w:pPr>
        <w:spacing w:after="156" w:afterLines="50"/>
        <w:ind w:right="-178" w:rightChars="-85"/>
        <w:rPr>
          <w:rFonts w:ascii="Calibri" w:hAnsi="Calibri"/>
          <w:color w:val="auto"/>
        </w:rPr>
      </w:pPr>
      <w:r>
        <w:rPr>
          <w:rFonts w:hint="eastAsia" w:ascii="Calibri" w:hAnsi="Calibri"/>
          <w:color w:val="auto"/>
        </w:rPr>
        <w:t>学号：</w:t>
      </w:r>
      <w:r>
        <w:rPr>
          <w:rFonts w:hint="eastAsia" w:ascii="Calibri" w:hAnsi="Calibri"/>
          <w:color w:val="auto"/>
          <w:u w:val="single"/>
        </w:rPr>
        <w:t xml:space="preserve">           </w:t>
      </w:r>
      <w:r>
        <w:rPr>
          <w:rFonts w:hint="eastAsia" w:ascii="Calibri" w:hAnsi="Calibri"/>
          <w:color w:val="auto"/>
        </w:rPr>
        <w:t xml:space="preserve"> 姓名：</w:t>
      </w:r>
      <w:r>
        <w:rPr>
          <w:rFonts w:hint="eastAsia" w:ascii="Calibri" w:hAnsi="Calibri"/>
          <w:color w:val="auto"/>
          <w:u w:val="single"/>
        </w:rPr>
        <w:t xml:space="preserve">          </w:t>
      </w:r>
      <w:r>
        <w:rPr>
          <w:rFonts w:hint="eastAsia" w:ascii="Calibri" w:hAnsi="Calibri"/>
          <w:color w:val="auto"/>
        </w:rPr>
        <w:t xml:space="preserve"> </w:t>
      </w:r>
      <w:r>
        <w:rPr>
          <w:rFonts w:hint="eastAsia" w:ascii="Calibri" w:hAnsi="Calibri"/>
          <w:color w:val="auto"/>
          <w:u w:val="single"/>
        </w:rPr>
        <w:t xml:space="preserve">         </w:t>
      </w:r>
      <w:r>
        <w:rPr>
          <w:rFonts w:hint="eastAsia" w:ascii="Calibri" w:hAnsi="Calibri"/>
          <w:color w:val="auto"/>
        </w:rPr>
        <w:t>学院</w:t>
      </w:r>
      <w:r>
        <w:rPr>
          <w:rFonts w:hint="eastAsia" w:ascii="Calibri" w:hAnsi="Calibri"/>
          <w:color w:val="auto"/>
          <w:u w:val="single"/>
        </w:rPr>
        <w:t xml:space="preserve">            </w:t>
      </w:r>
      <w:r>
        <w:rPr>
          <w:rFonts w:hint="eastAsia" w:ascii="Calibri" w:hAnsi="Calibri"/>
          <w:color w:val="auto"/>
        </w:rPr>
        <w:t>专业</w:t>
      </w:r>
      <w:r>
        <w:rPr>
          <w:rFonts w:hint="eastAsia" w:ascii="Calibri" w:hAnsi="Calibri"/>
          <w:color w:val="auto"/>
          <w:u w:val="single"/>
        </w:rPr>
        <w:t xml:space="preserve">     </w:t>
      </w:r>
      <w:r>
        <w:rPr>
          <w:rFonts w:hint="eastAsia" w:ascii="Calibri" w:hAnsi="Calibri"/>
          <w:color w:val="auto"/>
        </w:rPr>
        <w:t>年级</w:t>
      </w:r>
      <w:r>
        <w:rPr>
          <w:rFonts w:hint="eastAsia" w:ascii="Calibri" w:hAnsi="Calibri"/>
          <w:color w:val="auto"/>
          <w:u w:val="single"/>
        </w:rPr>
        <w:t xml:space="preserve">         </w:t>
      </w:r>
      <w:r>
        <w:rPr>
          <w:rFonts w:hint="eastAsia" w:ascii="Calibri" w:hAnsi="Calibri"/>
          <w:color w:val="auto"/>
        </w:rPr>
        <w:t xml:space="preserve">班          </w:t>
      </w:r>
    </w:p>
    <w:tbl>
      <w:tblPr>
        <w:tblStyle w:val="7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970"/>
        <w:gridCol w:w="2093"/>
        <w:gridCol w:w="2719"/>
      </w:tblGrid>
      <w:tr w14:paraId="5C52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noWrap w:val="0"/>
            <w:vAlign w:val="center"/>
          </w:tcPr>
          <w:p w14:paraId="4BD424E7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何时进入</w:t>
            </w:r>
          </w:p>
          <w:p w14:paraId="44048E2F">
            <w:pPr>
              <w:jc w:val="center"/>
              <w:rPr>
                <w:rFonts w:hint="eastAsia" w:eastAsia="宋体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</w:rPr>
              <w:t>本专业学习</w:t>
            </w:r>
          </w:p>
        </w:tc>
        <w:tc>
          <w:tcPr>
            <w:tcW w:w="2970" w:type="dxa"/>
            <w:noWrap w:val="0"/>
            <w:vAlign w:val="center"/>
          </w:tcPr>
          <w:p w14:paraId="3B553989">
            <w:pPr>
              <w:ind w:right="840"/>
              <w:jc w:val="center"/>
              <w:rPr>
                <w:rFonts w:hint="default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 xml:space="preserve">    年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月    日</w:t>
            </w:r>
          </w:p>
        </w:tc>
        <w:tc>
          <w:tcPr>
            <w:tcW w:w="2093" w:type="dxa"/>
            <w:noWrap w:val="0"/>
            <w:vAlign w:val="center"/>
          </w:tcPr>
          <w:p w14:paraId="308CD3BB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联系方式</w:t>
            </w:r>
          </w:p>
        </w:tc>
        <w:tc>
          <w:tcPr>
            <w:tcW w:w="2719" w:type="dxa"/>
            <w:noWrap w:val="0"/>
            <w:vAlign w:val="center"/>
          </w:tcPr>
          <w:p w14:paraId="58F38CA4">
            <w:pPr>
              <w:spacing w:line="300" w:lineRule="exact"/>
              <w:ind w:firstLine="420" w:firstLineChars="200"/>
              <w:rPr>
                <w:rFonts w:cs="Times New Roman"/>
                <w:color w:val="auto"/>
              </w:rPr>
            </w:pPr>
          </w:p>
        </w:tc>
      </w:tr>
      <w:tr w14:paraId="3700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noWrap w:val="0"/>
            <w:vAlign w:val="center"/>
          </w:tcPr>
          <w:p w14:paraId="138E20BF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申请转入</w:t>
            </w:r>
          </w:p>
          <w:p w14:paraId="01C1FD2A">
            <w:pPr>
              <w:jc w:val="center"/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年级</w:t>
            </w:r>
          </w:p>
        </w:tc>
        <w:tc>
          <w:tcPr>
            <w:tcW w:w="2970" w:type="dxa"/>
            <w:noWrap w:val="0"/>
            <w:vAlign w:val="center"/>
          </w:tcPr>
          <w:p w14:paraId="3B25964A">
            <w:pPr>
              <w:ind w:right="840" w:rightChars="0"/>
              <w:jc w:val="center"/>
              <w:rPr>
                <w:rFonts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3" w:type="dxa"/>
            <w:noWrap w:val="0"/>
            <w:vAlign w:val="center"/>
          </w:tcPr>
          <w:p w14:paraId="77E43509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</w:rPr>
              <w:t>申请转入</w:t>
            </w:r>
            <w:r>
              <w:rPr>
                <w:rFonts w:hint="eastAsia" w:cs="Times New Roman"/>
                <w:color w:val="auto"/>
                <w:lang w:val="en-US" w:eastAsia="zh-CN"/>
              </w:rPr>
              <w:t>专业</w:t>
            </w:r>
          </w:p>
        </w:tc>
        <w:tc>
          <w:tcPr>
            <w:tcW w:w="2719" w:type="dxa"/>
            <w:noWrap w:val="0"/>
            <w:vAlign w:val="center"/>
          </w:tcPr>
          <w:p w14:paraId="213D5DFF">
            <w:pPr>
              <w:spacing w:line="300" w:lineRule="exact"/>
              <w:ind w:firstLine="420" w:firstLineChars="200"/>
              <w:rPr>
                <w:rFonts w:cs="Times New Roman"/>
                <w:color w:val="auto"/>
              </w:rPr>
            </w:pPr>
          </w:p>
        </w:tc>
      </w:tr>
      <w:tr w14:paraId="0780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453" w:type="dxa"/>
            <w:noWrap w:val="0"/>
            <w:vAlign w:val="center"/>
          </w:tcPr>
          <w:p w14:paraId="0ABD9F0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申请专业调整理由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1A3893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“第五条　具备以下条件之一者，可以提出转专业的申请：</w:t>
            </w:r>
          </w:p>
          <w:p w14:paraId="65AB24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（一）通识教育必修课无挂科、补考、重修记录，且对其他专业确有兴趣和专长者；</w:t>
            </w:r>
          </w:p>
          <w:p w14:paraId="2F2DAA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（二）因身体疾病或心理问题（不含隐瞒既往病史入学者）等特殊原因，不能在原专业学习，但在上级和学校政策允许的范围内，尚能在本校其他专业学习者；</w:t>
            </w:r>
          </w:p>
          <w:p w14:paraId="25C79B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（三）休学创业后复学，其创业经历与转入专业相关者；</w:t>
            </w:r>
          </w:p>
          <w:p w14:paraId="7EB082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（四）学生退役后复学，因自身情况需要转专业者；</w:t>
            </w:r>
          </w:p>
          <w:p w14:paraId="3AFDCE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（五）休学、保留入学资格后复学，学校已无学生原所学专业或无原录取专业者；</w:t>
            </w:r>
          </w:p>
          <w:p w14:paraId="05E6EF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（六）学校根据需要调整专业时，相关专业学生也可提出转专业申请。</w:t>
            </w:r>
          </w:p>
          <w:p w14:paraId="2003BB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其中，休学创业或退役后复学申请转专业者，学校优先考虑。”</w:t>
            </w:r>
          </w:p>
          <w:p w14:paraId="2187F0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textAlignment w:val="auto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此栏需根据湘女院行字〔2023〕98号文件第五条规定的可以提出转专业的申请的具体情形展开填写。若申请时，暂无期末考试成绩，可以先按无挂科申请。</w:t>
            </w:r>
          </w:p>
          <w:p w14:paraId="49D19250">
            <w:pPr>
              <w:pStyle w:val="6"/>
              <w:rPr>
                <w:rFonts w:hint="eastAsia" w:cs="Times New Roman"/>
                <w:color w:val="auto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填写此表时请删除本栏中上述所有文字。</w:t>
            </w:r>
          </w:p>
          <w:p w14:paraId="2FE11EB6">
            <w:pPr>
              <w:ind w:right="360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申请人签字：　　　　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</w:rPr>
              <w:t>　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color w:val="auto"/>
              </w:rPr>
              <w:t>家长签字：             年     月     日</w:t>
            </w:r>
          </w:p>
        </w:tc>
      </w:tr>
      <w:tr w14:paraId="6271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453" w:type="dxa"/>
            <w:noWrap w:val="0"/>
            <w:vAlign w:val="center"/>
          </w:tcPr>
          <w:p w14:paraId="3B0D7EC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辅导员审核</w:t>
            </w:r>
          </w:p>
          <w:p w14:paraId="0567638C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情况（在校表现情况</w:t>
            </w:r>
            <w:r>
              <w:rPr>
                <w:rFonts w:hint="eastAsia" w:cs="Times New Roman"/>
                <w:color w:val="auto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lang w:val="en-US" w:eastAsia="zh-CN"/>
              </w:rPr>
              <w:t>是否有违规违纪记录未解除</w:t>
            </w:r>
            <w:r>
              <w:rPr>
                <w:rFonts w:hint="eastAsia" w:cs="Times New Roman"/>
                <w:color w:val="auto"/>
              </w:rPr>
              <w:t>）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58556CFE">
            <w:pPr>
              <w:rPr>
                <w:rFonts w:hint="eastAsia" w:cs="Times New Roman"/>
                <w:color w:val="auto"/>
              </w:rPr>
            </w:pPr>
          </w:p>
          <w:p w14:paraId="6D014EFD">
            <w:pPr>
              <w:pStyle w:val="6"/>
              <w:rPr>
                <w:rFonts w:hint="eastAsia" w:cs="Times New Roman"/>
                <w:color w:val="auto"/>
              </w:rPr>
            </w:pPr>
          </w:p>
          <w:p w14:paraId="09BB9902">
            <w:pPr>
              <w:pStyle w:val="6"/>
              <w:rPr>
                <w:rFonts w:hint="eastAsia" w:cs="Times New Roman"/>
                <w:color w:val="auto"/>
              </w:rPr>
            </w:pPr>
          </w:p>
          <w:p w14:paraId="42734022">
            <w:pPr>
              <w:pStyle w:val="6"/>
              <w:rPr>
                <w:rFonts w:hint="eastAsia" w:cs="Times New Roman"/>
                <w:color w:val="auto"/>
              </w:rPr>
            </w:pPr>
          </w:p>
          <w:p w14:paraId="3300624D">
            <w:pPr>
              <w:rPr>
                <w:rFonts w:hint="eastAsia" w:cs="Times New Roman"/>
                <w:color w:val="auto"/>
              </w:rPr>
            </w:pPr>
          </w:p>
          <w:p w14:paraId="0D21F950">
            <w:pPr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 xml:space="preserve"> </w:t>
            </w:r>
          </w:p>
          <w:p w14:paraId="667E6164">
            <w:pPr>
              <w:rPr>
                <w:rFonts w:hint="eastAsia" w:cs="Times New Roman"/>
                <w:color w:val="auto"/>
              </w:rPr>
            </w:pPr>
          </w:p>
          <w:p w14:paraId="483FEE9C">
            <w:pPr>
              <w:rPr>
                <w:rFonts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</w:rPr>
              <w:t xml:space="preserve">签字：　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color w:val="auto"/>
              </w:rPr>
              <w:t xml:space="preserve">     年    月   日</w:t>
            </w:r>
          </w:p>
        </w:tc>
      </w:tr>
      <w:tr w14:paraId="29D0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53" w:type="dxa"/>
            <w:noWrap w:val="0"/>
            <w:vAlign w:val="center"/>
          </w:tcPr>
          <w:p w14:paraId="771ED4F5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拟转出学院</w:t>
            </w:r>
          </w:p>
          <w:p w14:paraId="71F182B3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意 见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241F5BEC">
            <w:pPr>
              <w:rPr>
                <w:rFonts w:hint="eastAsia" w:cs="Times New Roman"/>
                <w:color w:val="auto"/>
              </w:rPr>
            </w:pPr>
          </w:p>
          <w:p w14:paraId="79E49E67">
            <w:pPr>
              <w:rPr>
                <w:rFonts w:hint="eastAsia" w:cs="Times New Roman"/>
                <w:color w:val="auto"/>
              </w:rPr>
            </w:pPr>
          </w:p>
          <w:p w14:paraId="79787CED">
            <w:pPr>
              <w:rPr>
                <w:rFonts w:hint="eastAsia" w:cs="Times New Roman"/>
                <w:color w:val="auto"/>
              </w:rPr>
            </w:pPr>
          </w:p>
          <w:p w14:paraId="58197D34">
            <w:pPr>
              <w:rPr>
                <w:rFonts w:hint="eastAsia" w:cs="Times New Roman"/>
                <w:color w:val="auto"/>
              </w:rPr>
            </w:pPr>
          </w:p>
          <w:p w14:paraId="20DE9C16">
            <w:pPr>
              <w:rPr>
                <w:rFonts w:hint="eastAsia" w:cs="Times New Roman"/>
                <w:color w:val="auto"/>
              </w:rPr>
            </w:pPr>
          </w:p>
          <w:p w14:paraId="4CF5410C">
            <w:pPr>
              <w:rPr>
                <w:rFonts w:hint="eastAsia" w:cs="Times New Roman"/>
                <w:color w:val="auto"/>
              </w:rPr>
            </w:pPr>
          </w:p>
          <w:p w14:paraId="7D4CA3C6">
            <w:pPr>
              <w:rPr>
                <w:rFonts w:hint="eastAsia" w:cs="Times New Roman"/>
                <w:color w:val="auto"/>
              </w:rPr>
            </w:pPr>
          </w:p>
          <w:p w14:paraId="6CCB0227">
            <w:pPr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签字</w:t>
            </w:r>
            <w:r>
              <w:rPr>
                <w:rFonts w:hint="eastAsia" w:cs="Times New Roman"/>
                <w:color w:val="auto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lang w:val="en-US" w:eastAsia="zh-CN"/>
              </w:rPr>
              <w:t>盖章）</w:t>
            </w:r>
            <w:r>
              <w:rPr>
                <w:rFonts w:hint="eastAsia" w:cs="Times New Roman"/>
                <w:color w:val="auto"/>
              </w:rPr>
              <w:t>：　                            年    月   日</w:t>
            </w:r>
          </w:p>
        </w:tc>
      </w:tr>
    </w:tbl>
    <w:p w14:paraId="6BB3F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Calibri" w:hAnsi="Calibri" w:eastAsia="仿宋_GB2312"/>
          <w:color w:val="auto"/>
          <w:sz w:val="24"/>
          <w:szCs w:val="24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NumType w:start="2"/>
          <w:cols w:space="720" w:num="1"/>
          <w:rtlGutter w:val="0"/>
          <w:docGrid w:type="lines" w:linePitch="312" w:charSpace="0"/>
        </w:sectPr>
      </w:pPr>
      <w:r>
        <w:rPr>
          <w:rFonts w:hint="eastAsia" w:ascii="Calibri" w:hAnsi="Calibri" w:eastAsia="仿宋_GB2312"/>
          <w:color w:val="auto"/>
          <w:sz w:val="24"/>
          <w:szCs w:val="24"/>
        </w:rPr>
        <w:t>注：本表</w:t>
      </w:r>
      <w:r>
        <w:rPr>
          <w:rFonts w:hint="eastAsia" w:ascii="Calibri" w:hAnsi="Calibri" w:eastAsia="仿宋_GB2312" w:cs="Times New Roman"/>
          <w:color w:val="auto"/>
          <w:sz w:val="24"/>
          <w:szCs w:val="24"/>
        </w:rPr>
        <w:t>一式</w:t>
      </w:r>
      <w:r>
        <w:rPr>
          <w:rFonts w:hint="eastAsia" w:ascii="Calibri" w:hAnsi="Calibri" w:eastAsia="仿宋_GB2312" w:cs="Times New Roman"/>
          <w:color w:val="auto"/>
          <w:sz w:val="24"/>
          <w:szCs w:val="24"/>
          <w:lang w:val="en-US" w:eastAsia="zh-CN"/>
        </w:rPr>
        <w:t>二</w:t>
      </w:r>
      <w:r>
        <w:rPr>
          <w:rFonts w:hint="eastAsia" w:ascii="Calibri" w:hAnsi="Calibri" w:eastAsia="仿宋_GB2312" w:cs="Times New Roman"/>
          <w:color w:val="auto"/>
          <w:sz w:val="24"/>
          <w:szCs w:val="24"/>
        </w:rPr>
        <w:t>份</w:t>
      </w:r>
      <w:r>
        <w:rPr>
          <w:rFonts w:hint="eastAsia" w:ascii="Calibri" w:hAnsi="Calibri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ascii="Calibri" w:hAnsi="Calibri" w:eastAsia="仿宋_GB2312"/>
          <w:color w:val="auto"/>
          <w:sz w:val="24"/>
          <w:szCs w:val="24"/>
        </w:rPr>
        <w:t>转出学院存档</w:t>
      </w:r>
      <w:r>
        <w:rPr>
          <w:rFonts w:hint="eastAsia" w:ascii="Calibri" w:hAnsi="Calibri" w:eastAsia="仿宋_GB2312"/>
          <w:color w:val="auto"/>
          <w:sz w:val="24"/>
          <w:szCs w:val="24"/>
          <w:lang w:val="en-US" w:eastAsia="zh-CN"/>
        </w:rPr>
        <w:t>一份，交教务处学籍科一份（以学院为单位）</w:t>
      </w:r>
      <w:r>
        <w:rPr>
          <w:rFonts w:hint="eastAsia" w:ascii="Calibri" w:hAnsi="Calibri" w:eastAsia="仿宋_GB2312"/>
          <w:color w:val="auto"/>
          <w:sz w:val="24"/>
          <w:szCs w:val="24"/>
        </w:rPr>
        <w:t>。</w:t>
      </w:r>
    </w:p>
    <w:p w14:paraId="61380CC5">
      <w:pPr>
        <w:pStyle w:val="12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0D5494A0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湖南女子学院专业调整拟转出学生名单</w:t>
      </w:r>
    </w:p>
    <w:p w14:paraId="5DABE7F7">
      <w:pPr>
        <w:spacing w:before="158" w:beforeLines="50"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转出学院： </w:t>
      </w:r>
    </w:p>
    <w:tbl>
      <w:tblPr>
        <w:tblStyle w:val="7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01"/>
        <w:gridCol w:w="1199"/>
        <w:gridCol w:w="791"/>
        <w:gridCol w:w="1841"/>
        <w:gridCol w:w="1072"/>
        <w:gridCol w:w="1704"/>
        <w:gridCol w:w="1401"/>
      </w:tblGrid>
      <w:tr w14:paraId="4FF7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0" w:type="dxa"/>
            <w:noWrap w:val="0"/>
            <w:vAlign w:val="center"/>
          </w:tcPr>
          <w:p w14:paraId="133C0A41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01" w:type="dxa"/>
            <w:noWrap w:val="0"/>
            <w:vAlign w:val="center"/>
          </w:tcPr>
          <w:p w14:paraId="6B839692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199" w:type="dxa"/>
            <w:noWrap w:val="0"/>
            <w:vAlign w:val="center"/>
          </w:tcPr>
          <w:p w14:paraId="6B809297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91" w:type="dxa"/>
            <w:noWrap w:val="0"/>
            <w:vAlign w:val="center"/>
          </w:tcPr>
          <w:p w14:paraId="599D2896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</w:t>
            </w:r>
          </w:p>
          <w:p w14:paraId="712AB6FD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841" w:type="dxa"/>
            <w:noWrap w:val="0"/>
            <w:vAlign w:val="center"/>
          </w:tcPr>
          <w:p w14:paraId="06FE4EA5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转出专业</w:t>
            </w:r>
          </w:p>
        </w:tc>
        <w:tc>
          <w:tcPr>
            <w:tcW w:w="1072" w:type="dxa"/>
            <w:noWrap w:val="0"/>
            <w:vAlign w:val="center"/>
          </w:tcPr>
          <w:p w14:paraId="18F5D17B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入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704" w:type="dxa"/>
            <w:noWrap w:val="0"/>
            <w:vAlign w:val="center"/>
          </w:tcPr>
          <w:p w14:paraId="005885B2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申请转入专业</w:t>
            </w:r>
          </w:p>
        </w:tc>
        <w:tc>
          <w:tcPr>
            <w:tcW w:w="1401" w:type="dxa"/>
            <w:noWrap w:val="0"/>
            <w:vAlign w:val="center"/>
          </w:tcPr>
          <w:p w14:paraId="7369FC16"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申请转专业理由</w:t>
            </w:r>
          </w:p>
        </w:tc>
      </w:tr>
      <w:tr w14:paraId="0705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6E4611F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10A478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1D549F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4270C36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DCE957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47C204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6AFFDC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4898C57">
            <w:pPr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AAB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noWrap w:val="0"/>
            <w:vAlign w:val="center"/>
          </w:tcPr>
          <w:p w14:paraId="2A6A01B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B586E4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EC7033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0AD5FA6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272DE6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9CF799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010765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5DFEFFD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D3E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4EC8F0E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FA4945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381284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067B7C0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74DF0F9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CD5172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68CA61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CA7F7F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180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64B9FA5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74804CD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037D1C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4A923F5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771D729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6BFECA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EF9B83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8B3FED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191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noWrap w:val="0"/>
            <w:vAlign w:val="center"/>
          </w:tcPr>
          <w:p w14:paraId="2534B34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57A470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E9A59F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32F882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C4B0E9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05E29B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9324BB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D4705C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F03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3B1965B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97ADFA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8123B6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FB85C8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5572F5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F4886A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C49AC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1BF43F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AEB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4C5EB6A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45CD20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14F456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8CCA87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266BB3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B493EC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5D71B8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498861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01E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27228F5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EC1E17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7E6316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634D96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FFF9F2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C8EE8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9E2464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4014933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C7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2063D5D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5CA44F0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D64BC2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52A279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4DD098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FA90A8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C62286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47060B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D66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04D7791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97C806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CFB0DA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A2E8D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097DA9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B884C9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F6380D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99D85A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DBA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76E497E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8C78E4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D22729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E783C4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62553B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278158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1A4365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2CDE6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BB4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56B277C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99EB4A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81544B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4D7244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BDE5BE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47F698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6E346E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035F21A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08F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62448AB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4FD37FC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E72EDD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A95F64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EF49F3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8B12D8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A5604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33A0C92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1A65C84D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注：1.“申请转专业理由”栏按湘女院行字〔2023〕98号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第五条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规定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可以提出转专业申请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的情况分类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填写“（一）、（二）……”</w:t>
      </w:r>
    </w:p>
    <w:p w14:paraId="4A01903D">
      <w:pPr>
        <w:spacing w:line="400" w:lineRule="exact"/>
        <w:ind w:firstLine="486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2.此表纸质版、电子版及相关证明材料交至教务处学籍科。</w:t>
      </w:r>
    </w:p>
    <w:p w14:paraId="69D25485">
      <w:pPr>
        <w:pStyle w:val="6"/>
        <w:rPr>
          <w:color w:val="auto"/>
        </w:rPr>
      </w:pPr>
    </w:p>
    <w:p w14:paraId="639ADFAA">
      <w:pPr>
        <w:jc w:val="left"/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填表人：                          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/>
          <w:color w:val="auto"/>
          <w:sz w:val="28"/>
          <w:szCs w:val="28"/>
        </w:rPr>
        <w:t xml:space="preserve">签字（公章）：                                     </w:t>
      </w:r>
    </w:p>
    <w:p w14:paraId="2C62EC99">
      <w:pPr>
        <w:pStyle w:val="12"/>
        <w:snapToGrid w:val="0"/>
        <w:spacing w:line="500" w:lineRule="exact"/>
        <w:jc w:val="right"/>
        <w:rPr>
          <w:rFonts w:hint="eastAsia" w:ascii="Calibri" w:eastAsia="仿宋_GB2312" w:cs="Times New Roman"/>
          <w:color w:val="auto"/>
          <w:sz w:val="28"/>
          <w:szCs w:val="28"/>
        </w:rPr>
      </w:pPr>
      <w:r>
        <w:rPr>
          <w:rFonts w:hint="eastAsia" w:ascii="Calibri" w:eastAsia="仿宋_GB2312" w:cs="Times New Roman"/>
          <w:color w:val="auto"/>
          <w:sz w:val="28"/>
          <w:szCs w:val="28"/>
        </w:rPr>
        <w:t xml:space="preserve"> 年   月   日</w:t>
      </w:r>
    </w:p>
    <w:p w14:paraId="383225F3">
      <w:pPr>
        <w:pStyle w:val="12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footerReference r:id="rId4" w:type="default"/>
          <w:pgSz w:w="11906" w:h="16838"/>
          <w:pgMar w:top="1440" w:right="1247" w:bottom="1440" w:left="1247" w:header="851" w:footer="992" w:gutter="0"/>
          <w:cols w:space="720" w:num="1"/>
          <w:rtlGutter w:val="0"/>
          <w:docGrid w:type="linesAndChars" w:linePitch="313" w:charSpace="800"/>
        </w:sectPr>
      </w:pPr>
    </w:p>
    <w:p w14:paraId="4F0EB6AC">
      <w:pPr>
        <w:pStyle w:val="12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0C59D020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湖南女子学院专业调整拟转入学生名单</w:t>
      </w:r>
    </w:p>
    <w:p w14:paraId="15786B77">
      <w:pPr>
        <w:spacing w:before="158" w:beforeLines="50"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转入学院： </w:t>
      </w:r>
    </w:p>
    <w:tbl>
      <w:tblPr>
        <w:tblStyle w:val="7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37"/>
        <w:gridCol w:w="1050"/>
        <w:gridCol w:w="825"/>
        <w:gridCol w:w="1738"/>
        <w:gridCol w:w="1011"/>
        <w:gridCol w:w="1576"/>
        <w:gridCol w:w="2100"/>
        <w:gridCol w:w="1377"/>
        <w:gridCol w:w="1640"/>
      </w:tblGrid>
      <w:tr w14:paraId="538E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2" w:type="dxa"/>
            <w:noWrap w:val="0"/>
            <w:vAlign w:val="center"/>
          </w:tcPr>
          <w:p w14:paraId="7FF57644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 w14:paraId="5629DDCE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050" w:type="dxa"/>
            <w:noWrap w:val="0"/>
            <w:vAlign w:val="center"/>
          </w:tcPr>
          <w:p w14:paraId="5B225DB5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58B0EC52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</w:t>
            </w:r>
          </w:p>
          <w:p w14:paraId="01C724EA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738" w:type="dxa"/>
            <w:noWrap w:val="0"/>
            <w:vAlign w:val="center"/>
          </w:tcPr>
          <w:p w14:paraId="4E4ACC10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转出专业</w:t>
            </w:r>
          </w:p>
        </w:tc>
        <w:tc>
          <w:tcPr>
            <w:tcW w:w="1011" w:type="dxa"/>
            <w:noWrap w:val="0"/>
            <w:vAlign w:val="center"/>
          </w:tcPr>
          <w:p w14:paraId="28CC0C28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转入年级</w:t>
            </w:r>
          </w:p>
        </w:tc>
        <w:tc>
          <w:tcPr>
            <w:tcW w:w="1576" w:type="dxa"/>
            <w:noWrap w:val="0"/>
            <w:vAlign w:val="center"/>
          </w:tcPr>
          <w:p w14:paraId="59489B18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转入专业</w:t>
            </w:r>
          </w:p>
        </w:tc>
        <w:tc>
          <w:tcPr>
            <w:tcW w:w="2100" w:type="dxa"/>
            <w:noWrap w:val="0"/>
            <w:vAlign w:val="center"/>
          </w:tcPr>
          <w:p w14:paraId="174C921C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拟编入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1377" w:type="dxa"/>
            <w:noWrap w:val="0"/>
            <w:vAlign w:val="center"/>
          </w:tcPr>
          <w:p w14:paraId="7AF235E1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综合评定</w:t>
            </w:r>
          </w:p>
          <w:p w14:paraId="6609B305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1640" w:type="dxa"/>
            <w:noWrap w:val="0"/>
            <w:vAlign w:val="center"/>
          </w:tcPr>
          <w:p w14:paraId="07DDFEB7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符合转专业的基本条件</w:t>
            </w:r>
          </w:p>
        </w:tc>
      </w:tr>
      <w:tr w14:paraId="2F73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10C3494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CA0DF2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23E186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A3A800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020C2E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384A8E6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ACA978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0620AA4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EA90FE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C77120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FC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 w14:paraId="328D6C6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619F3A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B0BA23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783C53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995F7A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C3CF76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5DC6BCE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BC1249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1B2594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639F1A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04F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6131549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47364B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16EABF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431EA3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D42E60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C37385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ED4B6D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175CC4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A8F5FA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CFBE1E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092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40FDDB5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9F16C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BFCB67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73A182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BA68E8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466CD6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51EC70D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D1B6C9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F04C3E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1B6A5B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DEE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 w14:paraId="66FA688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046530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F81126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E8C644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F2E2A1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3266B9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DD21CF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54D3C5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C86F09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D49048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5D8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82" w:type="dxa"/>
            <w:noWrap w:val="0"/>
            <w:vAlign w:val="center"/>
          </w:tcPr>
          <w:p w14:paraId="7E6DC72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AA374B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D4A5A0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250496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46A46C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118A32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F46895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703E6D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807FE8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44DEAA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7422DAD8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注：1.“符合转专业的基本条件”栏按湘女院行字〔2023〕98号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第五条审核情况填写“（一）、（二）……”。</w:t>
      </w:r>
    </w:p>
    <w:p w14:paraId="7D5BC4C1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.此表纸质版和电子版交至教务处学籍科。</w:t>
      </w:r>
    </w:p>
    <w:p w14:paraId="6FC440A1">
      <w:pPr>
        <w:pStyle w:val="6"/>
        <w:rPr>
          <w:rFonts w:hint="eastAsia"/>
          <w:color w:val="auto"/>
        </w:rPr>
      </w:pPr>
    </w:p>
    <w:p w14:paraId="77F6D1B4">
      <w:pPr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填表人：                      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/>
          <w:color w:val="auto"/>
          <w:sz w:val="28"/>
          <w:szCs w:val="28"/>
        </w:rPr>
        <w:t>签字（公章）：</w:t>
      </w:r>
    </w:p>
    <w:p w14:paraId="3EE090DD">
      <w:pPr>
        <w:wordWrap w:val="0"/>
        <w:ind w:right="560"/>
        <w:jc w:val="right"/>
        <w:rPr>
          <w:rFonts w:hint="eastAsia" w:ascii="Calibri" w:hAnsi="Calibri"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年   月   日</w:t>
      </w:r>
    </w:p>
    <w:sectPr>
      <w:footerReference r:id="rId5" w:type="default"/>
      <w:pgSz w:w="16838" w:h="11906" w:orient="landscape"/>
      <w:pgMar w:top="16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02C3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BB5C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1BB5C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F59C9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13</w:t>
    </w:r>
    <w:r>
      <w:rPr>
        <w:rStyle w:val="9"/>
      </w:rPr>
      <w:fldChar w:fldCharType="end"/>
    </w:r>
  </w:p>
  <w:p w14:paraId="574297A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1D58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5F77B93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2M1Nzg5NWU5ZTgzZjMwZDE4OGFkMjA4YmI1NTgifQ=="/>
  </w:docVars>
  <w:rsids>
    <w:rsidRoot w:val="33FA0D14"/>
    <w:rsid w:val="001464C8"/>
    <w:rsid w:val="001A02BD"/>
    <w:rsid w:val="00214020"/>
    <w:rsid w:val="00217A2D"/>
    <w:rsid w:val="00285E49"/>
    <w:rsid w:val="00646190"/>
    <w:rsid w:val="006B5DDE"/>
    <w:rsid w:val="009926EF"/>
    <w:rsid w:val="00A2117E"/>
    <w:rsid w:val="00A3225A"/>
    <w:rsid w:val="00BE3C33"/>
    <w:rsid w:val="00DB0E2B"/>
    <w:rsid w:val="00E07391"/>
    <w:rsid w:val="00EF324A"/>
    <w:rsid w:val="00F01272"/>
    <w:rsid w:val="024C71F0"/>
    <w:rsid w:val="036325F9"/>
    <w:rsid w:val="04EF5D71"/>
    <w:rsid w:val="06713F81"/>
    <w:rsid w:val="079F4678"/>
    <w:rsid w:val="07BF5722"/>
    <w:rsid w:val="0D7D69EF"/>
    <w:rsid w:val="0DF109D4"/>
    <w:rsid w:val="158014F0"/>
    <w:rsid w:val="16221562"/>
    <w:rsid w:val="19304682"/>
    <w:rsid w:val="1E6A2D9F"/>
    <w:rsid w:val="20941D21"/>
    <w:rsid w:val="214C2A08"/>
    <w:rsid w:val="21666D65"/>
    <w:rsid w:val="21AC26B7"/>
    <w:rsid w:val="228A1208"/>
    <w:rsid w:val="231611B9"/>
    <w:rsid w:val="25793098"/>
    <w:rsid w:val="27205D72"/>
    <w:rsid w:val="27A00A76"/>
    <w:rsid w:val="2C7C1CF6"/>
    <w:rsid w:val="2F903D89"/>
    <w:rsid w:val="303E6BAE"/>
    <w:rsid w:val="327932E4"/>
    <w:rsid w:val="33FA0D14"/>
    <w:rsid w:val="378937F8"/>
    <w:rsid w:val="37BA2069"/>
    <w:rsid w:val="3CD32420"/>
    <w:rsid w:val="3EFE4C47"/>
    <w:rsid w:val="40403312"/>
    <w:rsid w:val="40B06674"/>
    <w:rsid w:val="4234663E"/>
    <w:rsid w:val="474702B8"/>
    <w:rsid w:val="49D2014A"/>
    <w:rsid w:val="4C72174D"/>
    <w:rsid w:val="4EA8104F"/>
    <w:rsid w:val="57036788"/>
    <w:rsid w:val="591B447E"/>
    <w:rsid w:val="63222677"/>
    <w:rsid w:val="656A1E1F"/>
    <w:rsid w:val="66E47F42"/>
    <w:rsid w:val="67587CB9"/>
    <w:rsid w:val="67705E13"/>
    <w:rsid w:val="67AE7B43"/>
    <w:rsid w:val="68DC5BC0"/>
    <w:rsid w:val="6B614E69"/>
    <w:rsid w:val="6BF455F2"/>
    <w:rsid w:val="6DE15781"/>
    <w:rsid w:val="6E055343"/>
    <w:rsid w:val="6EB77B5C"/>
    <w:rsid w:val="6F402C71"/>
    <w:rsid w:val="700E0B18"/>
    <w:rsid w:val="707226F6"/>
    <w:rsid w:val="728F0F83"/>
    <w:rsid w:val="74786C13"/>
    <w:rsid w:val="74932F15"/>
    <w:rsid w:val="76A5207C"/>
    <w:rsid w:val="782162EC"/>
    <w:rsid w:val="789338E2"/>
    <w:rsid w:val="78BA7C86"/>
    <w:rsid w:val="79BA01AB"/>
    <w:rsid w:val="7A0B4DC5"/>
    <w:rsid w:val="7A9F2364"/>
    <w:rsid w:val="7AA04654"/>
    <w:rsid w:val="7E047DBA"/>
    <w:rsid w:val="7EC203AF"/>
    <w:rsid w:val="7ED85C2D"/>
    <w:rsid w:val="7FB9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2283</Words>
  <Characters>2413</Characters>
  <Lines>14</Lines>
  <Paragraphs>3</Paragraphs>
  <TotalTime>26</TotalTime>
  <ScaleCrop>false</ScaleCrop>
  <LinksUpToDate>false</LinksUpToDate>
  <CharactersWithSpaces>2768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2020-07-07T06:03:00Z</dcterms:created>
  <dc:creator>大象嘿嘿 </dc:creator>
  <cp:lastModifiedBy>明天退休</cp:lastModifiedBy>
  <cp:lastPrinted>2023-02-13T01:05:00Z</cp:lastPrinted>
  <dcterms:modified xsi:type="dcterms:W3CDTF">2024-12-11T08:30:06Z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CCE548E67CAA453D8363A3757B20A8E8</vt:lpwstr>
  </property>
</Properties>
</file>