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8" w:line="219" w:lineRule="auto"/>
        <w:ind w:left="7"/>
        <w:jc w:val="distribute"/>
        <w:rPr>
          <w:rFonts w:ascii="宋体" w:hAnsi="宋体" w:cs="宋体"/>
          <w:sz w:val="84"/>
          <w:szCs w:val="84"/>
        </w:rPr>
      </w:pPr>
      <w:r>
        <w:rPr>
          <w:rFonts w:ascii="宋体" w:hAnsi="宋体" w:cs="宋体"/>
          <w:b/>
          <w:bCs/>
          <w:color w:val="FF2A00"/>
          <w:spacing w:val="-55"/>
          <w:w w:val="76"/>
          <w:sz w:val="84"/>
          <w:szCs w:val="84"/>
        </w:rPr>
        <w:t>湖南</w:t>
      </w:r>
      <w:r>
        <w:rPr>
          <w:rFonts w:hint="eastAsia" w:ascii="宋体" w:hAnsi="宋体" w:cs="宋体"/>
          <w:b/>
          <w:bCs/>
          <w:color w:val="FF2A00"/>
          <w:spacing w:val="-55"/>
          <w:w w:val="76"/>
          <w:sz w:val="84"/>
          <w:szCs w:val="84"/>
        </w:rPr>
        <w:t>女子</w:t>
      </w:r>
      <w:r>
        <w:rPr>
          <w:rFonts w:ascii="宋体" w:hAnsi="宋体" w:cs="宋体"/>
          <w:b/>
          <w:bCs/>
          <w:color w:val="FF2A00"/>
          <w:spacing w:val="-55"/>
          <w:w w:val="76"/>
          <w:sz w:val="84"/>
          <w:szCs w:val="84"/>
        </w:rPr>
        <w:t>学院</w:t>
      </w:r>
      <w:r>
        <w:rPr>
          <w:rFonts w:hint="eastAsia" w:ascii="宋体" w:hAnsi="宋体" w:cs="宋体"/>
          <w:b/>
          <w:bCs/>
          <w:color w:val="FF2A00"/>
          <w:spacing w:val="-55"/>
          <w:w w:val="76"/>
          <w:sz w:val="84"/>
          <w:szCs w:val="84"/>
        </w:rPr>
        <w:t>文</w:t>
      </w:r>
      <w:r>
        <w:rPr>
          <w:rFonts w:ascii="宋体" w:hAnsi="宋体" w:cs="宋体"/>
          <w:b/>
          <w:bCs/>
          <w:color w:val="FF2A00"/>
          <w:spacing w:val="-55"/>
          <w:w w:val="76"/>
          <w:sz w:val="84"/>
          <w:szCs w:val="84"/>
        </w:rPr>
        <w:t>学院</w:t>
      </w:r>
    </w:p>
    <w:p>
      <w:pPr>
        <w:jc w:val="center"/>
        <w:rPr>
          <w:b/>
          <w:bCs/>
          <w:sz w:val="30"/>
          <w:szCs w:val="30"/>
        </w:rPr>
      </w:pPr>
      <w:r>
        <w:drawing>
          <wp:inline distT="0" distB="0" distL="0" distR="0">
            <wp:extent cx="5613400" cy="37465"/>
            <wp:effectExtent l="0" t="0" r="0" b="63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5613421" cy="38069"/>
                    </a:xfrm>
                    <a:prstGeom prst="rect">
                      <a:avLst/>
                    </a:prstGeom>
                  </pic:spPr>
                </pic:pic>
              </a:graphicData>
            </a:graphic>
          </wp:inline>
        </w:drawing>
      </w:r>
    </w:p>
    <w:p>
      <w:pPr>
        <w:spacing w:before="104" w:line="219" w:lineRule="auto"/>
        <w:ind w:right="368"/>
        <w:jc w:val="right"/>
        <w:rPr>
          <w:rFonts w:ascii="宋体" w:hAnsi="宋体" w:cs="宋体"/>
          <w:sz w:val="32"/>
          <w:szCs w:val="32"/>
        </w:rPr>
      </w:pPr>
      <w:r>
        <w:rPr>
          <w:rFonts w:hint="eastAsia" w:ascii="宋体" w:hAnsi="宋体" w:cs="宋体"/>
          <w:spacing w:val="-4"/>
          <w:sz w:val="32"/>
          <w:szCs w:val="32"/>
        </w:rPr>
        <w:t>湘女院文</w:t>
      </w:r>
      <w:r>
        <w:rPr>
          <w:rFonts w:ascii="宋体" w:hAnsi="宋体" w:cs="宋体"/>
          <w:spacing w:val="-4"/>
          <w:sz w:val="32"/>
          <w:szCs w:val="32"/>
        </w:rPr>
        <w:t>字〔20</w:t>
      </w:r>
      <w:r>
        <w:rPr>
          <w:rFonts w:hint="eastAsia" w:ascii="宋体" w:hAnsi="宋体" w:cs="宋体"/>
          <w:spacing w:val="-4"/>
          <w:sz w:val="32"/>
          <w:szCs w:val="32"/>
        </w:rPr>
        <w:t>22</w:t>
      </w:r>
      <w:r>
        <w:rPr>
          <w:rFonts w:ascii="宋体" w:hAnsi="宋体" w:cs="宋体"/>
          <w:spacing w:val="-4"/>
          <w:sz w:val="32"/>
          <w:szCs w:val="32"/>
        </w:rPr>
        <w:t>〕</w:t>
      </w:r>
      <w:r>
        <w:rPr>
          <w:rFonts w:hint="eastAsia" w:ascii="宋体" w:hAnsi="宋体" w:cs="宋体"/>
          <w:spacing w:val="-4"/>
          <w:sz w:val="32"/>
          <w:szCs w:val="32"/>
        </w:rPr>
        <w:t>2</w:t>
      </w:r>
      <w:r>
        <w:rPr>
          <w:rFonts w:ascii="宋体" w:hAnsi="宋体" w:cs="宋体"/>
          <w:spacing w:val="-4"/>
          <w:sz w:val="32"/>
          <w:szCs w:val="32"/>
        </w:rPr>
        <w:t>号</w:t>
      </w:r>
    </w:p>
    <w:p>
      <w:pPr>
        <w:spacing w:line="440" w:lineRule="exact"/>
        <w:ind w:firstLine="880" w:firstLineChars="200"/>
        <w:jc w:val="center"/>
        <w:rPr>
          <w:rFonts w:ascii="黑体" w:hAnsi="黑体" w:eastAsia="黑体" w:cs="黑体"/>
          <w:sz w:val="44"/>
          <w:szCs w:val="44"/>
        </w:rPr>
      </w:pPr>
    </w:p>
    <w:p>
      <w:pPr>
        <w:spacing w:line="440" w:lineRule="exact"/>
        <w:ind w:firstLine="880" w:firstLineChars="200"/>
        <w:jc w:val="center"/>
        <w:rPr>
          <w:rFonts w:ascii="黑体" w:hAnsi="黑体" w:eastAsia="黑体" w:cs="黑体"/>
          <w:sz w:val="44"/>
          <w:szCs w:val="44"/>
        </w:rPr>
      </w:pPr>
    </w:p>
    <w:p>
      <w:pPr>
        <w:spacing w:line="360" w:lineRule="auto"/>
        <w:jc w:val="center"/>
        <w:rPr>
          <w:rFonts w:ascii="黑体" w:hAnsi="黑体" w:eastAsia="黑体" w:cs="黑体"/>
          <w:sz w:val="40"/>
          <w:szCs w:val="40"/>
        </w:rPr>
      </w:pPr>
      <w:r>
        <w:rPr>
          <w:rFonts w:hint="eastAsia" w:ascii="黑体" w:hAnsi="黑体" w:eastAsia="黑体" w:cs="黑体"/>
          <w:sz w:val="40"/>
          <w:szCs w:val="40"/>
        </w:rPr>
        <w:t>文学院汉语言文学专业毕业要求达成度评价</w:t>
      </w:r>
    </w:p>
    <w:p>
      <w:pPr>
        <w:spacing w:line="360" w:lineRule="auto"/>
        <w:jc w:val="center"/>
        <w:rPr>
          <w:rFonts w:ascii="黑体" w:hAnsi="黑体" w:eastAsia="黑体" w:cs="黑体"/>
          <w:sz w:val="40"/>
          <w:szCs w:val="40"/>
        </w:rPr>
      </w:pPr>
      <w:r>
        <w:rPr>
          <w:rFonts w:hint="eastAsia" w:ascii="黑体" w:hAnsi="黑体" w:eastAsia="黑体" w:cs="黑体"/>
          <w:sz w:val="40"/>
          <w:szCs w:val="40"/>
        </w:rPr>
        <w:t>方案（试行）</w:t>
      </w:r>
    </w:p>
    <w:p>
      <w:pPr>
        <w:spacing w:line="360" w:lineRule="auto"/>
        <w:jc w:val="center"/>
        <w:rPr>
          <w:rFonts w:ascii="黑体" w:hAnsi="黑体" w:eastAsia="黑体" w:cs="黑体"/>
          <w:sz w:val="40"/>
          <w:szCs w:val="40"/>
        </w:rPr>
      </w:pPr>
    </w:p>
    <w:p>
      <w:pPr>
        <w:pStyle w:val="15"/>
        <w:keepNext/>
        <w:keepLines/>
        <w:spacing w:after="0" w:line="6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为贯彻落实习近平新时代中国特色社会主义思想、党的十九大、全国教育大会和新时代全国高校本科教育工作会议精神，深化新时代本科教育改革，推进专业内涵式建设，规范汉语言文学专业毕业要求达成度评价的程序与方法，全面保障和提高人才培养质量，根据《普通高等学校师范专业认证实施办法》（教师【</w:t>
      </w:r>
      <w:r>
        <w:rPr>
          <w:rFonts w:ascii="Times New Roman" w:hAnsi="Times New Roman" w:eastAsia="仿宋"/>
          <w:color w:val="auto"/>
          <w:sz w:val="28"/>
          <w:szCs w:val="28"/>
        </w:rPr>
        <w:t>2017】13</w:t>
      </w:r>
      <w:r>
        <w:rPr>
          <w:rFonts w:hint="eastAsia" w:ascii="仿宋" w:hAnsi="仿宋" w:eastAsia="仿宋" w:cs="仿宋"/>
          <w:color w:val="auto"/>
          <w:sz w:val="28"/>
          <w:szCs w:val="28"/>
        </w:rPr>
        <w:t>号）和《湖南</w:t>
      </w:r>
      <w:r>
        <w:rPr>
          <w:rFonts w:hint="eastAsia" w:ascii="仿宋" w:hAnsi="仿宋" w:eastAsia="仿宋" w:cs="仿宋"/>
          <w:color w:val="auto"/>
          <w:sz w:val="28"/>
          <w:szCs w:val="28"/>
          <w:lang w:eastAsia="zh-CN"/>
        </w:rPr>
        <w:t>女子学院</w:t>
      </w:r>
      <w:r>
        <w:rPr>
          <w:rFonts w:hint="eastAsia" w:ascii="仿宋" w:hAnsi="仿宋" w:eastAsia="仿宋" w:cs="仿宋"/>
          <w:color w:val="auto"/>
          <w:sz w:val="28"/>
          <w:szCs w:val="28"/>
        </w:rPr>
        <w:t>师范</w:t>
      </w:r>
      <w:r>
        <w:rPr>
          <w:rFonts w:hint="eastAsia" w:ascii="仿宋" w:hAnsi="仿宋" w:eastAsia="仿宋" w:cs="仿宋"/>
          <w:color w:val="auto"/>
          <w:sz w:val="28"/>
          <w:szCs w:val="28"/>
          <w:lang w:eastAsia="zh-CN"/>
        </w:rPr>
        <w:t>类专业</w:t>
      </w:r>
      <w:r>
        <w:rPr>
          <w:rFonts w:hint="eastAsia" w:ascii="仿宋" w:hAnsi="仿宋" w:eastAsia="仿宋" w:cs="仿宋"/>
          <w:color w:val="auto"/>
          <w:sz w:val="28"/>
          <w:szCs w:val="28"/>
        </w:rPr>
        <w:t>毕业要求评价管理与实施办法（试行）》</w:t>
      </w:r>
      <w:r>
        <w:rPr>
          <w:rFonts w:hint="eastAsia" w:ascii="仿宋" w:hAnsi="仿宋" w:eastAsia="仿宋" w:cs="仿宋"/>
          <w:color w:val="auto"/>
          <w:sz w:val="28"/>
          <w:szCs w:val="28"/>
          <w:lang w:eastAsia="zh-CN"/>
        </w:rPr>
        <w:t>（湘女院教评字〔202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lang w:eastAsia="zh-CN"/>
        </w:rPr>
        <w:t>号）</w:t>
      </w:r>
      <w:r>
        <w:rPr>
          <w:rFonts w:hint="eastAsia" w:ascii="仿宋" w:hAnsi="仿宋" w:eastAsia="仿宋" w:cs="仿宋"/>
          <w:color w:val="auto"/>
          <w:sz w:val="28"/>
          <w:szCs w:val="28"/>
        </w:rPr>
        <w:t>，特制定本办法。</w:t>
      </w:r>
    </w:p>
    <w:p>
      <w:pPr>
        <w:spacing w:line="54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一、</w:t>
      </w:r>
      <w:r>
        <w:rPr>
          <w:rFonts w:hint="eastAsia" w:ascii="黑体" w:hAnsi="黑体" w:eastAsia="黑体" w:cs="仿宋"/>
          <w:b/>
          <w:sz w:val="28"/>
          <w:szCs w:val="28"/>
        </w:rPr>
        <w:t>评价依据</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毕业要求达成度评价以党和国家教育方针政策、《教育部专业课程设置标准》、普通高等学校师范专业认证实施办法》（教师</w:t>
      </w:r>
      <w:r>
        <w:rPr>
          <w:rFonts w:ascii="Times New Roman" w:hAnsi="Times New Roman" w:eastAsia="仿宋"/>
          <w:sz w:val="28"/>
          <w:szCs w:val="28"/>
        </w:rPr>
        <w:t>【2017】13号）</w:t>
      </w:r>
      <w:r>
        <w:rPr>
          <w:rFonts w:hint="eastAsia" w:ascii="仿宋" w:hAnsi="仿宋" w:eastAsia="仿宋" w:cs="仿宋"/>
          <w:sz w:val="28"/>
          <w:szCs w:val="28"/>
        </w:rPr>
        <w:t>《湖南女子学院师范类专业毕业要求评价管理与实施办法（试行）》（湘女院教评字〔2021〕43号）和《汉语言文学专业培养方案》（</w:t>
      </w:r>
      <w:r>
        <w:rPr>
          <w:rFonts w:ascii="Times New Roman" w:hAnsi="Times New Roman" w:eastAsia="仿宋"/>
          <w:sz w:val="28"/>
          <w:szCs w:val="28"/>
        </w:rPr>
        <w:t>20</w:t>
      </w:r>
      <w:r>
        <w:rPr>
          <w:rFonts w:hint="eastAsia" w:ascii="Times New Roman" w:hAnsi="Times New Roman" w:eastAsia="仿宋"/>
          <w:sz w:val="28"/>
          <w:szCs w:val="28"/>
        </w:rPr>
        <w:t>18</w:t>
      </w:r>
      <w:r>
        <w:rPr>
          <w:rFonts w:hint="eastAsia" w:ascii="仿宋" w:hAnsi="仿宋" w:eastAsia="仿宋" w:cs="仿宋"/>
          <w:sz w:val="28"/>
          <w:szCs w:val="28"/>
        </w:rPr>
        <w:t>版）为依据。</w:t>
      </w:r>
    </w:p>
    <w:p>
      <w:pPr>
        <w:spacing w:line="54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二、评价方式</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采取直接评价与间接评价相结合的评价方式。</w:t>
      </w:r>
    </w:p>
    <w:p>
      <w:pPr>
        <w:spacing w:line="54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三、评价主体和评价责任人</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毕业要求达成度评价主体涵盖本专业毕业生、专业教师、兼职教师、辅导员、文学院领导及教学管理人员、校外专家、用人单位和学生实习实践单位等利益相关方。</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文学院院长为毕业要求达成度评价责任人。本专业成立毕业要求达成度评价小组。评价小组的主要组成为：文学院领导、专业负责人、系主任、文学院教学督导、骨干教师代表、辅导员和校外专家。</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评价小组的主要职责包括：确定和审查本专业毕业要求各指标点和相关支撑课程的合理性；确定各指标点支撑课程的权重值；制定和审查评价方法；收集数据，实施评价，撰写报告，提出持续改进要求。</w:t>
      </w:r>
    </w:p>
    <w:p>
      <w:pPr>
        <w:spacing w:line="54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四、直接评价内容与方法</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直接评价是指基于课程考核的毕业要求达成度的评价。评价的计算方法如下：</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①根据</w:t>
      </w:r>
      <w:r>
        <w:rPr>
          <w:rFonts w:hint="eastAsia" w:ascii="仿宋" w:hAnsi="仿宋" w:eastAsia="仿宋" w:cs="仿宋"/>
          <w:sz w:val="28"/>
          <w:szCs w:val="28"/>
        </w:rPr>
        <w:t>《普通高等学校师范专业认证实施办法》（教师【2017】13号）和《湖南女子学院师范类专业毕业要求评价管理与实施办法（试行）》（湘女院教评字〔2021〕43号）和《汉语言文学专业培养方案》（</w:t>
      </w:r>
      <w:r>
        <w:rPr>
          <w:rFonts w:ascii="Times New Roman" w:hAnsi="Times New Roman" w:eastAsia="仿宋"/>
          <w:sz w:val="28"/>
          <w:szCs w:val="28"/>
        </w:rPr>
        <w:t>20</w:t>
      </w:r>
      <w:r>
        <w:rPr>
          <w:rFonts w:hint="eastAsia" w:ascii="Times New Roman" w:hAnsi="Times New Roman" w:eastAsia="仿宋"/>
          <w:sz w:val="28"/>
          <w:szCs w:val="28"/>
        </w:rPr>
        <w:t>19</w:t>
      </w:r>
      <w:r>
        <w:rPr>
          <w:rFonts w:hint="eastAsia" w:ascii="仿宋" w:hAnsi="仿宋" w:eastAsia="仿宋" w:cs="仿宋"/>
          <w:sz w:val="28"/>
          <w:szCs w:val="28"/>
        </w:rPr>
        <w:t>版）</w:t>
      </w:r>
      <w:r>
        <w:rPr>
          <w:rFonts w:hint="eastAsia" w:ascii="仿宋" w:hAnsi="仿宋" w:eastAsia="仿宋" w:cs="___WRD_EMBED_SUB_39"/>
          <w:sz w:val="28"/>
          <w:szCs w:val="28"/>
        </w:rPr>
        <w:t>，对师范专业认证要求的8项毕业要求进行指标分解，在全覆盖毕业要求的基础上得到科学、合理、可衡量的指标点。</w:t>
      </w:r>
    </w:p>
    <w:p>
      <w:pPr>
        <w:spacing w:line="540" w:lineRule="exact"/>
        <w:ind w:firstLine="560" w:firstLineChars="200"/>
        <w:rPr>
          <w:rFonts w:ascii="Times New Roman" w:hAnsi="Times New Roman"/>
          <w:sz w:val="28"/>
          <w:szCs w:val="28"/>
        </w:rPr>
      </w:pPr>
      <w:r>
        <w:rPr>
          <w:rFonts w:hint="eastAsia" w:ascii="宋体" w:hAnsi="宋体" w:cs="宋体"/>
          <w:sz w:val="28"/>
          <w:szCs w:val="28"/>
        </w:rPr>
        <w:t>②</w:t>
      </w:r>
      <w:r>
        <w:rPr>
          <w:rFonts w:hint="eastAsia" w:ascii="仿宋" w:hAnsi="仿宋" w:eastAsia="仿宋" w:cs="仿宋"/>
          <w:sz w:val="28"/>
          <w:szCs w:val="28"/>
        </w:rPr>
        <w:t>设置直接达成</w:t>
      </w:r>
      <w:r>
        <w:rPr>
          <w:rFonts w:ascii="Times New Roman" w:hAnsi="Times New Roman" w:eastAsia="仿宋"/>
          <w:sz w:val="28"/>
          <w:szCs w:val="28"/>
        </w:rPr>
        <w:t>情况目标值：0.6-0.7（≥0.6，≤0.7）为基本达成，0.7-0.8（&gt;0.7，≤0.</w:t>
      </w:r>
      <w:r>
        <w:rPr>
          <w:rFonts w:hint="eastAsia" w:ascii="Times New Roman" w:hAnsi="Times New Roman" w:eastAsia="仿宋"/>
          <w:sz w:val="28"/>
          <w:szCs w:val="28"/>
        </w:rPr>
        <w:t>9</w:t>
      </w:r>
      <w:r>
        <w:rPr>
          <w:rFonts w:ascii="Times New Roman" w:hAnsi="Times New Roman" w:eastAsia="仿宋"/>
          <w:sz w:val="28"/>
          <w:szCs w:val="28"/>
        </w:rPr>
        <w:t>）为达成良好，0.</w:t>
      </w:r>
      <w:r>
        <w:rPr>
          <w:rFonts w:hint="eastAsia" w:ascii="Times New Roman" w:hAnsi="Times New Roman" w:eastAsia="仿宋"/>
          <w:sz w:val="28"/>
          <w:szCs w:val="28"/>
        </w:rPr>
        <w:t>9</w:t>
      </w:r>
      <w:r>
        <w:rPr>
          <w:rFonts w:ascii="Times New Roman" w:hAnsi="Times New Roman" w:eastAsia="仿宋"/>
          <w:sz w:val="28"/>
          <w:szCs w:val="28"/>
        </w:rPr>
        <w:t>以上为达成优秀。</w:t>
      </w:r>
    </w:p>
    <w:p>
      <w:pPr>
        <w:spacing w:line="520" w:lineRule="exact"/>
        <w:ind w:firstLine="560" w:firstLineChars="200"/>
        <w:rPr>
          <w:rFonts w:ascii="Times New Roman" w:hAnsi="Times New Roman" w:eastAsia="仿宋"/>
          <w:sz w:val="28"/>
          <w:szCs w:val="28"/>
        </w:rPr>
      </w:pPr>
      <w:r>
        <w:rPr>
          <w:rFonts w:hint="eastAsia" w:ascii="宋体" w:hAnsi="宋体" w:cs="宋体"/>
          <w:sz w:val="28"/>
          <w:szCs w:val="28"/>
        </w:rPr>
        <w:t>③</w:t>
      </w:r>
      <w:r>
        <w:rPr>
          <w:rFonts w:ascii="Times New Roman" w:hAnsi="Times New Roman" w:eastAsia="仿宋"/>
          <w:sz w:val="28"/>
          <w:szCs w:val="28"/>
        </w:rPr>
        <w:t>将毕业要求的二级分解指标点的权重设置为1，则支撑该指标点的所有课程的权重之和为1。按照培养方案中课程支撑毕业要求矩阵图中各个课程对应毕业要求的强度值（H，M，L）来进行权重赋值，H=6</w:t>
      </w:r>
      <w:r>
        <w:rPr>
          <w:rFonts w:hint="eastAsia" w:ascii="Times New Roman" w:hAnsi="Times New Roman" w:eastAsia="仿宋"/>
          <w:sz w:val="28"/>
          <w:szCs w:val="28"/>
        </w:rPr>
        <w:t>，</w:t>
      </w:r>
      <w:r>
        <w:rPr>
          <w:rFonts w:ascii="Times New Roman" w:hAnsi="Times New Roman" w:eastAsia="仿宋"/>
          <w:sz w:val="28"/>
          <w:szCs w:val="28"/>
        </w:rPr>
        <w:t>M=3</w:t>
      </w:r>
      <w:r>
        <w:rPr>
          <w:rFonts w:hint="eastAsia" w:ascii="Times New Roman" w:hAnsi="Times New Roman" w:eastAsia="仿宋"/>
          <w:sz w:val="28"/>
          <w:szCs w:val="28"/>
        </w:rPr>
        <w:t>，</w:t>
      </w:r>
      <w:r>
        <w:rPr>
          <w:rFonts w:ascii="Times New Roman" w:hAnsi="Times New Roman" w:eastAsia="仿宋"/>
          <w:sz w:val="28"/>
          <w:szCs w:val="28"/>
        </w:rPr>
        <w:t>L=1。</w:t>
      </w:r>
    </w:p>
    <w:p>
      <w:pPr>
        <w:spacing w:line="520" w:lineRule="exact"/>
        <w:ind w:firstLine="560" w:firstLineChars="200"/>
        <w:rPr>
          <w:rFonts w:ascii="仿宋" w:hAnsi="仿宋" w:eastAsia="仿宋" w:cs="___WRD_EMBED_SUB_39"/>
          <w:sz w:val="28"/>
          <w:szCs w:val="28"/>
        </w:rPr>
      </w:pPr>
      <w:r>
        <w:rPr>
          <w:rFonts w:hint="eastAsia" w:ascii="仿宋" w:hAnsi="仿宋" w:eastAsia="仿宋" w:cs="仿宋"/>
          <w:sz w:val="28"/>
          <w:szCs w:val="28"/>
        </w:rPr>
        <w:t>④</w:t>
      </w:r>
      <w:r>
        <w:rPr>
          <w:rFonts w:hint="eastAsia" w:ascii="仿宋" w:hAnsi="仿宋" w:eastAsia="仿宋" w:cs="___WRD_EMBED_SUB_39"/>
          <w:sz w:val="28"/>
          <w:szCs w:val="28"/>
        </w:rPr>
        <w:t>课程支撑毕业要求分解指标点权重计算</w:t>
      </w:r>
    </w:p>
    <w:p>
      <w:pPr>
        <w:spacing w:line="520" w:lineRule="exact"/>
        <w:ind w:firstLine="560" w:firstLineChars="200"/>
        <w:rPr>
          <w:rFonts w:ascii="Times New Roman" w:hAnsi="Times New Roman" w:eastAsia="仿宋"/>
          <w:sz w:val="28"/>
          <w:szCs w:val="28"/>
        </w:rPr>
      </w:pPr>
      <w:r>
        <w:rPr>
          <w:rFonts w:hint="eastAsia" w:ascii="仿宋" w:hAnsi="仿宋" w:eastAsia="仿宋" w:cs="___WRD_EMBED_SUB_39"/>
          <w:sz w:val="28"/>
          <w:szCs w:val="28"/>
        </w:rPr>
        <w:t>根据课程对毕业要求分解指标点的支撑强度确定每门课程对毕业要求分解指</w:t>
      </w:r>
      <w:r>
        <w:rPr>
          <w:rFonts w:ascii="Times New Roman" w:hAnsi="Times New Roman" w:eastAsia="仿宋"/>
          <w:sz w:val="28"/>
          <w:szCs w:val="28"/>
        </w:rPr>
        <w:t>标点达成度计算的权重。如对某一毕业要求的某个指标点的支撑课程和课程支撑强度为：课程A（H）、课程B（H）、课程C（M）、课程D（M）和课程E（L），则课程A对该分解指标点达成度计算的权重为：课程A的权重=课程A支撑程度值/所有课程支撑程度值之和=6/（6×2)+(3×2)+(1×1）=0.316。</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⑤</w:t>
      </w:r>
      <w:r>
        <w:rPr>
          <w:rFonts w:hint="eastAsia" w:ascii="仿宋" w:hAnsi="仿宋" w:eastAsia="仿宋" w:cs="___WRD_EMBED_SUB_39"/>
          <w:sz w:val="28"/>
          <w:szCs w:val="28"/>
        </w:rPr>
        <w:t>课程支撑毕业要求的达成度=课程对应毕业要求的权重</w:t>
      </w:r>
      <w:r>
        <w:rPr>
          <w:rFonts w:ascii="仿宋" w:hAnsi="仿宋" w:eastAsia="仿宋" w:cs="___WRD_EMBED_SUB_39"/>
          <w:sz w:val="28"/>
          <w:szCs w:val="28"/>
        </w:rPr>
        <w:t>×</w:t>
      </w:r>
      <w:r>
        <w:rPr>
          <w:rFonts w:hint="eastAsia" w:ascii="仿宋" w:hAnsi="仿宋" w:eastAsia="仿宋" w:cs="___WRD_EMBED_SUB_39"/>
          <w:sz w:val="28"/>
          <w:szCs w:val="28"/>
        </w:rPr>
        <w:t>课程目标的达成度，如A课程支撑毕业要求1.1的权重为0.316，而其课程达成度为0.85，那么该课程支撑毕业要求1.1的达成度则为0.316</w:t>
      </w:r>
      <w:r>
        <w:rPr>
          <w:rFonts w:ascii="仿宋" w:hAnsi="仿宋" w:eastAsia="仿宋" w:cs="___WRD_EMBED_SUB_39"/>
          <w:sz w:val="28"/>
          <w:szCs w:val="28"/>
        </w:rPr>
        <w:t>×</w:t>
      </w:r>
      <w:r>
        <w:rPr>
          <w:rFonts w:hint="eastAsia" w:ascii="仿宋" w:hAnsi="仿宋" w:eastAsia="仿宋" w:cs="___WRD_EMBED_SUB_39"/>
          <w:sz w:val="28"/>
          <w:szCs w:val="28"/>
        </w:rPr>
        <w:t>0.85=0.2686。</w:t>
      </w:r>
    </w:p>
    <w:p>
      <w:pPr>
        <w:spacing w:line="520" w:lineRule="exact"/>
        <w:ind w:firstLine="560" w:firstLineChars="200"/>
        <w:rPr>
          <w:rFonts w:ascii="仿宋" w:hAnsi="仿宋" w:eastAsia="仿宋" w:cs="___WRD_EMBED_SUB_39"/>
          <w:sz w:val="28"/>
          <w:szCs w:val="28"/>
        </w:rPr>
      </w:pPr>
      <w:r>
        <w:rPr>
          <w:rFonts w:hint="eastAsia" w:ascii="仿宋" w:hAnsi="仿宋" w:eastAsia="仿宋" w:cs="仿宋"/>
          <w:sz w:val="28"/>
          <w:szCs w:val="28"/>
        </w:rPr>
        <w:t>⑥</w:t>
      </w:r>
      <w:r>
        <w:rPr>
          <w:rFonts w:hint="eastAsia" w:ascii="仿宋" w:hAnsi="仿宋" w:eastAsia="仿宋" w:cs="___WRD_EMBED_SUB_39"/>
          <w:sz w:val="28"/>
          <w:szCs w:val="28"/>
        </w:rPr>
        <w:t>毕业要求分解指标点的达成度计算</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分解指标点的达成度等于支撑该指标点的各门课程的课程目标达成度与课程权重的乘积之和。</w:t>
      </w:r>
    </w:p>
    <w:p>
      <w:pPr>
        <w:spacing w:line="520" w:lineRule="exact"/>
        <w:ind w:firstLine="560" w:firstLineChars="200"/>
        <w:rPr>
          <w:rFonts w:ascii="仿宋" w:hAnsi="仿宋" w:eastAsia="仿宋" w:cs="___WRD_EMBED_SUB_39"/>
          <w:sz w:val="28"/>
          <w:szCs w:val="28"/>
        </w:rPr>
      </w:pPr>
      <w:r>
        <w:rPr>
          <w:rFonts w:hint="eastAsia" w:ascii="仿宋" w:hAnsi="仿宋" w:eastAsia="仿宋" w:cs="仿宋"/>
          <w:sz w:val="28"/>
          <w:szCs w:val="28"/>
        </w:rPr>
        <w:t>⑦</w:t>
      </w:r>
      <w:r>
        <w:rPr>
          <w:rFonts w:hint="eastAsia" w:ascii="仿宋" w:hAnsi="仿宋" w:eastAsia="仿宋" w:cs="___WRD_EMBED_SUB_39"/>
          <w:sz w:val="28"/>
          <w:szCs w:val="28"/>
        </w:rPr>
        <w:t>毕业要求达成度计算：某项毕业要求达成度=该毕业要求各分解指标点达成度中的最小值。</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⑧</w:t>
      </w:r>
      <w:r>
        <w:rPr>
          <w:rFonts w:hint="eastAsia" w:ascii="仿宋" w:hAnsi="仿宋" w:eastAsia="仿宋" w:cs="___WRD_EMBED_SUB_39"/>
          <w:sz w:val="28"/>
          <w:szCs w:val="28"/>
        </w:rPr>
        <w:t>参照《</w:t>
      </w:r>
      <w:r>
        <w:rPr>
          <w:rFonts w:hint="eastAsia" w:ascii="仿宋" w:hAnsi="仿宋" w:eastAsia="仿宋" w:cs="仿宋"/>
          <w:sz w:val="28"/>
          <w:szCs w:val="28"/>
        </w:rPr>
        <w:t>湖南女子学院</w:t>
      </w:r>
      <w:r>
        <w:rPr>
          <w:rFonts w:hint="eastAsia" w:ascii="仿宋" w:hAnsi="仿宋" w:eastAsia="仿宋" w:cs="___WRD_EMBED_SUB_39"/>
          <w:sz w:val="28"/>
          <w:szCs w:val="28"/>
        </w:rPr>
        <w:t>学分制管理办法及学士学位授予条例》，外语达到学校英语学习标准、平均学分绩点≥2.0者可获得文学学士学位，其中，学分绩点2.0对应课程考核成绩为60分。因此，本专业的各项毕业要求达成度评价标准值设定为0.6，即评价值达到0.6则为评价合格。</w:t>
      </w:r>
    </w:p>
    <w:p>
      <w:pPr>
        <w:spacing w:line="54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五、间接评价内容与方法</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间接评价是基于问卷调查分析的毕业要求达成度的评价。问卷调查的对象是毕业生及用人单位，目的是获取受访者对毕业要求达成情况的反馈。包括：受访者对各项毕业要求的认可度，以及毕业生在毕业要求各项能力上的表现和达成情况。问卷调查应保证获取数据的真实性和科学性。</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毕业要求达成度评价间接评价计算的具体方法如下：</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① 调查表中对核心能力的认同度数据即为评价所采用的数据，按等级高低（</w:t>
      </w:r>
      <w:r>
        <w:rPr>
          <w:rFonts w:hint="eastAsia" w:ascii="仿宋" w:hAnsi="仿宋" w:eastAsia="仿宋" w:cs="___WRD_EMBED_SUB_39"/>
          <w:sz w:val="28"/>
          <w:szCs w:val="28"/>
          <w:lang w:val="en-US" w:eastAsia="zh-CN"/>
        </w:rPr>
        <w:t>非常认同</w:t>
      </w:r>
      <w:r>
        <w:rPr>
          <w:rFonts w:hint="eastAsia" w:ascii="仿宋" w:hAnsi="仿宋" w:eastAsia="仿宋" w:cs="___WRD_EMBED_SUB_39"/>
          <w:sz w:val="28"/>
          <w:szCs w:val="28"/>
        </w:rPr>
        <w:t>、</w:t>
      </w:r>
      <w:r>
        <w:rPr>
          <w:rFonts w:hint="eastAsia" w:ascii="仿宋" w:hAnsi="仿宋" w:eastAsia="仿宋" w:cs="___WRD_EMBED_SUB_39"/>
          <w:sz w:val="28"/>
          <w:szCs w:val="28"/>
          <w:lang w:val="en-US" w:eastAsia="zh-CN"/>
        </w:rPr>
        <w:t>认同</w:t>
      </w:r>
      <w:r>
        <w:rPr>
          <w:rFonts w:hint="eastAsia" w:ascii="仿宋" w:hAnsi="仿宋" w:eastAsia="仿宋" w:cs="___WRD_EMBED_SUB_39"/>
          <w:sz w:val="28"/>
          <w:szCs w:val="28"/>
        </w:rPr>
        <w:t>、</w:t>
      </w:r>
      <w:r>
        <w:rPr>
          <w:rFonts w:hint="eastAsia" w:ascii="仿宋" w:hAnsi="仿宋" w:eastAsia="仿宋" w:cs="___WRD_EMBED_SUB_39"/>
          <w:sz w:val="28"/>
          <w:szCs w:val="28"/>
          <w:lang w:val="en-US" w:eastAsia="zh-CN"/>
        </w:rPr>
        <w:t>基本认同</w:t>
      </w:r>
      <w:r>
        <w:rPr>
          <w:rFonts w:hint="eastAsia" w:ascii="仿宋" w:hAnsi="仿宋" w:eastAsia="仿宋" w:cs="___WRD_EMBED_SUB_39"/>
          <w:sz w:val="28"/>
          <w:szCs w:val="28"/>
        </w:rPr>
        <w:t>、</w:t>
      </w:r>
      <w:r>
        <w:rPr>
          <w:rFonts w:hint="eastAsia" w:ascii="仿宋" w:hAnsi="仿宋" w:eastAsia="仿宋" w:cs="___WRD_EMBED_SUB_39"/>
          <w:sz w:val="28"/>
          <w:szCs w:val="28"/>
          <w:lang w:val="en-US" w:eastAsia="zh-CN"/>
        </w:rPr>
        <w:t>不认同、非常不认同</w:t>
      </w:r>
      <w:r>
        <w:rPr>
          <w:rFonts w:hint="eastAsia" w:ascii="仿宋" w:hAnsi="仿宋" w:eastAsia="仿宋" w:cs="___WRD_EMBED_SUB_39"/>
          <w:sz w:val="28"/>
          <w:szCs w:val="28"/>
        </w:rPr>
        <w:t>）依次取“</w:t>
      </w:r>
      <w:r>
        <w:rPr>
          <w:rFonts w:hint="eastAsia" w:ascii="仿宋" w:hAnsi="仿宋" w:eastAsia="仿宋" w:cs="___WRD_EMBED_SUB_39"/>
          <w:sz w:val="28"/>
          <w:szCs w:val="28"/>
          <w:lang w:val="en-US" w:eastAsia="zh-CN"/>
        </w:rPr>
        <w:t>10</w:t>
      </w:r>
      <w:r>
        <w:rPr>
          <w:rFonts w:hint="eastAsia" w:ascii="仿宋" w:hAnsi="仿宋" w:eastAsia="仿宋" w:cs="___WRD_EMBED_SUB_39"/>
          <w:sz w:val="28"/>
          <w:szCs w:val="28"/>
        </w:rPr>
        <w:t>”“</w:t>
      </w:r>
      <w:r>
        <w:rPr>
          <w:rFonts w:hint="eastAsia" w:ascii="仿宋" w:hAnsi="仿宋" w:eastAsia="仿宋" w:cs="___WRD_EMBED_SUB_39"/>
          <w:sz w:val="28"/>
          <w:szCs w:val="28"/>
          <w:lang w:val="en-US" w:eastAsia="zh-CN"/>
        </w:rPr>
        <w:t>8</w:t>
      </w:r>
      <w:r>
        <w:rPr>
          <w:rFonts w:hint="eastAsia" w:ascii="仿宋" w:hAnsi="仿宋" w:eastAsia="仿宋" w:cs="___WRD_EMBED_SUB_39"/>
          <w:sz w:val="28"/>
          <w:szCs w:val="28"/>
        </w:rPr>
        <w:t>”“</w:t>
      </w:r>
      <w:r>
        <w:rPr>
          <w:rFonts w:hint="eastAsia" w:ascii="仿宋" w:hAnsi="仿宋" w:eastAsia="仿宋" w:cs="___WRD_EMBED_SUB_39"/>
          <w:sz w:val="28"/>
          <w:szCs w:val="28"/>
          <w:lang w:val="en-US" w:eastAsia="zh-CN"/>
        </w:rPr>
        <w:t>6</w:t>
      </w:r>
      <w:r>
        <w:rPr>
          <w:rFonts w:hint="eastAsia" w:ascii="仿宋" w:hAnsi="仿宋" w:eastAsia="仿宋" w:cs="___WRD_EMBED_SUB_39"/>
          <w:sz w:val="28"/>
          <w:szCs w:val="28"/>
        </w:rPr>
        <w:t>”“</w:t>
      </w:r>
      <w:r>
        <w:rPr>
          <w:rFonts w:hint="eastAsia" w:ascii="仿宋" w:hAnsi="仿宋" w:eastAsia="仿宋" w:cs="___WRD_EMBED_SUB_39"/>
          <w:sz w:val="28"/>
          <w:szCs w:val="28"/>
          <w:lang w:val="en-US" w:eastAsia="zh-CN"/>
        </w:rPr>
        <w:t>4</w:t>
      </w:r>
      <w:r>
        <w:rPr>
          <w:rFonts w:hint="eastAsia" w:ascii="仿宋" w:hAnsi="仿宋" w:eastAsia="仿宋" w:cs="___WRD_EMBED_SUB_39"/>
          <w:sz w:val="28"/>
          <w:szCs w:val="28"/>
        </w:rPr>
        <w:t>”</w:t>
      </w:r>
      <w:r>
        <w:rPr>
          <w:rFonts w:hint="eastAsia" w:ascii="仿宋" w:hAnsi="仿宋" w:eastAsia="仿宋" w:cs="___WRD_EMBED_SUB_39"/>
          <w:sz w:val="28"/>
          <w:szCs w:val="28"/>
          <w:lang w:eastAsia="zh-CN"/>
        </w:rPr>
        <w:t>“</w:t>
      </w:r>
      <w:r>
        <w:rPr>
          <w:rFonts w:hint="eastAsia" w:ascii="仿宋" w:hAnsi="仿宋" w:eastAsia="仿宋" w:cs="___WRD_EMBED_SUB_39"/>
          <w:sz w:val="28"/>
          <w:szCs w:val="28"/>
          <w:lang w:val="en-US" w:eastAsia="zh-CN"/>
        </w:rPr>
        <w:t>2</w:t>
      </w:r>
      <w:r>
        <w:rPr>
          <w:rFonts w:hint="eastAsia" w:ascii="仿宋" w:hAnsi="仿宋" w:eastAsia="仿宋" w:cs="___WRD_EMBED_SUB_39"/>
          <w:sz w:val="28"/>
          <w:szCs w:val="28"/>
          <w:lang w:eastAsia="zh-CN"/>
        </w:rPr>
        <w:t>”</w:t>
      </w:r>
      <w:r>
        <w:rPr>
          <w:rFonts w:hint="eastAsia" w:ascii="仿宋" w:hAnsi="仿宋" w:eastAsia="仿宋" w:cs="___WRD_EMBED_SUB_39"/>
          <w:sz w:val="28"/>
          <w:szCs w:val="28"/>
        </w:rPr>
        <w:t>进行四分制量化。</w:t>
      </w:r>
    </w:p>
    <w:p>
      <w:pPr>
        <w:spacing w:line="360" w:lineRule="auto"/>
        <w:ind w:firstLine="560" w:firstLineChars="200"/>
        <w:rPr>
          <w:rFonts w:ascii="仿宋" w:hAnsi="仿宋" w:eastAsia="仿宋" w:cs="___WRD_EMBED_SUB_39"/>
          <w:sz w:val="28"/>
          <w:szCs w:val="28"/>
        </w:rPr>
      </w:pPr>
      <w:r>
        <w:rPr>
          <w:rFonts w:hint="eastAsia" w:ascii="仿宋" w:hAnsi="仿宋" w:eastAsia="仿宋" w:cs="___WRD_EMBED_SUB_39"/>
          <w:sz w:val="28"/>
          <w:szCs w:val="28"/>
        </w:rPr>
        <w:t>②毕业</w:t>
      </w:r>
      <w:bookmarkStart w:id="0" w:name="_GoBack"/>
      <w:bookmarkEnd w:id="0"/>
      <w:r>
        <w:rPr>
          <w:rFonts w:hint="eastAsia" w:ascii="仿宋" w:hAnsi="仿宋" w:eastAsia="仿宋" w:cs="___WRD_EMBED_SUB_39"/>
          <w:sz w:val="28"/>
          <w:szCs w:val="28"/>
        </w:rPr>
        <w:t>要求分解指标点的达成度计算</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整理、统计，计算毕业要求分指标点达成值。某项毕业要求分指标点达成值=(【非常认同】选项数×10+【认同】选项数×8+【基本认同】选项数×6+【不认同】选项数×4+【非常不认同】选项数×2）/（所有等级选项总数×10）。同理，计算出其他毕业要求分指标点达成值。</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③毕业要求达成度计算：某项毕业要求达成度=该毕业要求各分解指标点达成度中的最小值。</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若计算后的各毕业要求达成度评价值均大于等于 0.6，则认为毕业要求达成。</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依据《汉语言文学专业毕业要求合理性与达成度评价机制和实施方案（试行）》，对毕业生采取问卷调查方法，并对毕业生的毕业要求达成度进行了自我评价，结果示例如下。</w:t>
      </w:r>
    </w:p>
    <w:p>
      <w:pPr>
        <w:spacing w:line="520" w:lineRule="exact"/>
        <w:ind w:firstLine="560" w:firstLineChars="200"/>
        <w:rPr>
          <w:rFonts w:ascii="仿宋" w:hAnsi="仿宋" w:eastAsia="仿宋" w:cs="___WRD_EMBED_SUB_39"/>
          <w:sz w:val="28"/>
          <w:szCs w:val="28"/>
        </w:rPr>
      </w:pPr>
      <w:r>
        <w:rPr>
          <w:rFonts w:hint="eastAsia" w:ascii="仿宋" w:hAnsi="仿宋" w:eastAsia="仿宋" w:cs="___WRD_EMBED_SUB_39"/>
          <w:sz w:val="28"/>
          <w:szCs w:val="28"/>
        </w:rPr>
        <w:t xml:space="preserve">如1.1师德规范，发出的调查报告为162份，收回162份，其中具体的调查结果数据如下。 </w:t>
      </w:r>
    </w:p>
    <w:p>
      <w:pPr>
        <w:widowControl/>
        <w:jc w:val="left"/>
        <w:rPr>
          <w:rFonts w:ascii="Times New Roman" w:hAnsi="Times New Roman" w:eastAsia="Times New Roman"/>
          <w:kern w:val="0"/>
          <w:sz w:val="24"/>
        </w:rPr>
      </w:pPr>
    </w:p>
    <w:tbl>
      <w:tblPr>
        <w:tblStyle w:val="7"/>
        <w:tblW w:w="8516"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3"/>
        <w:gridCol w:w="1002"/>
        <w:gridCol w:w="444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3073" w:type="dxa"/>
            <w:shd w:val="clear" w:color="auto" w:fill="E0E0E0"/>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选项</w:t>
            </w:r>
          </w:p>
        </w:tc>
        <w:tc>
          <w:tcPr>
            <w:tcW w:w="1002" w:type="dxa"/>
            <w:shd w:val="clear" w:color="auto" w:fill="E0E0E0"/>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小计</w:t>
            </w:r>
          </w:p>
        </w:tc>
        <w:tc>
          <w:tcPr>
            <w:tcW w:w="4441" w:type="dxa"/>
            <w:shd w:val="clear" w:color="auto" w:fill="E0E0E0"/>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3073" w:type="dxa"/>
            <w:shd w:val="clear" w:color="auto" w:fill="FFFFFF"/>
            <w:vAlign w:val="center"/>
          </w:tcPr>
          <w:p>
            <w:pPr>
              <w:widowControl/>
              <w:jc w:val="left"/>
              <w:rPr>
                <w:rFonts w:hint="default" w:ascii="Times New Roman" w:hAnsi="Times New Roman" w:eastAsia="宋体"/>
                <w:kern w:val="0"/>
                <w:sz w:val="24"/>
                <w:lang w:val="en-US" w:eastAsia="zh-CN"/>
              </w:rPr>
            </w:pPr>
            <w:r>
              <w:rPr>
                <w:rFonts w:ascii="Times New Roman" w:hAnsi="Times New Roman" w:eastAsia="Times New Roman"/>
                <w:kern w:val="0"/>
                <w:sz w:val="24"/>
              </w:rPr>
              <w:t>（  ）</w:t>
            </w:r>
            <w:r>
              <w:rPr>
                <w:rFonts w:hint="eastAsia" w:ascii="Times New Roman" w:hAnsi="Times New Roman"/>
                <w:kern w:val="0"/>
                <w:sz w:val="24"/>
                <w:lang w:val="en-US" w:eastAsia="zh-CN"/>
              </w:rPr>
              <w:t>非常认同</w:t>
            </w:r>
          </w:p>
        </w:tc>
        <w:tc>
          <w:tcPr>
            <w:tcW w:w="1002" w:type="dxa"/>
            <w:shd w:val="clear" w:color="auto" w:fill="FFFFFF"/>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126</w:t>
            </w:r>
          </w:p>
        </w:tc>
        <w:tc>
          <w:tcPr>
            <w:tcW w:w="4441" w:type="dxa"/>
            <w:shd w:val="clear" w:color="auto" w:fill="FFFFFF"/>
            <w:vAlign w:val="center"/>
          </w:tcPr>
          <w:p>
            <w:pPr>
              <w:widowControl/>
              <w:jc w:val="left"/>
              <w:rPr>
                <w:rFonts w:ascii="Times New Roman" w:hAnsi="Times New Roman" w:eastAsia="Times New Roman"/>
                <w:kern w:val="0"/>
                <w:sz w:val="24"/>
              </w:rPr>
            </w:pPr>
            <w:r>
              <w:rPr>
                <w:rFonts w:ascii="Times New Roman" w:hAnsi="Times New Roman" w:eastAsia="Times New Roman"/>
                <w:kern w:val="0"/>
                <w:sz w:val="24"/>
              </w:rPr>
              <w:drawing>
                <wp:inline distT="0" distB="0" distL="114300" distR="114300">
                  <wp:extent cx="1047750" cy="114300"/>
                  <wp:effectExtent l="0" t="0" r="3810" b="7620"/>
                  <wp:docPr id="8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
                          <pic:cNvPicPr>
                            <a:picLocks noChangeAspect="1"/>
                          </pic:cNvPicPr>
                        </pic:nvPicPr>
                        <pic:blipFill>
                          <a:blip r:embed="rId5"/>
                          <a:stretch>
                            <a:fillRect/>
                          </a:stretch>
                        </pic:blipFill>
                        <pic:spPr>
                          <a:xfrm>
                            <a:off x="0" y="0"/>
                            <a:ext cx="1047750" cy="114300"/>
                          </a:xfrm>
                          <a:prstGeom prst="rect">
                            <a:avLst/>
                          </a:prstGeom>
                          <a:noFill/>
                          <a:ln>
                            <a:noFill/>
                          </a:ln>
                        </pic:spPr>
                      </pic:pic>
                    </a:graphicData>
                  </a:graphic>
                </wp:inline>
              </w:drawing>
            </w:r>
            <w:r>
              <w:rPr>
                <w:rFonts w:ascii="Times New Roman" w:hAnsi="Times New Roman" w:eastAsia="Times New Roman"/>
                <w:kern w:val="0"/>
                <w:sz w:val="24"/>
              </w:rPr>
              <w:drawing>
                <wp:inline distT="0" distB="0" distL="114300" distR="114300">
                  <wp:extent cx="304800" cy="114300"/>
                  <wp:effectExtent l="0" t="0" r="0" b="7620"/>
                  <wp:docPr id="9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2"/>
                          <pic:cNvPicPr>
                            <a:picLocks noChangeAspect="1"/>
                          </pic:cNvPicPr>
                        </pic:nvPicPr>
                        <pic:blipFill>
                          <a:blip r:embed="rId6"/>
                          <a:stretch>
                            <a:fillRect/>
                          </a:stretch>
                        </pic:blipFill>
                        <pic:spPr>
                          <a:xfrm>
                            <a:off x="0" y="0"/>
                            <a:ext cx="304800" cy="114300"/>
                          </a:xfrm>
                          <a:prstGeom prst="rect">
                            <a:avLst/>
                          </a:prstGeom>
                          <a:noFill/>
                          <a:ln>
                            <a:noFill/>
                          </a:ln>
                        </pic:spPr>
                      </pic:pic>
                    </a:graphicData>
                  </a:graphic>
                </wp:inline>
              </w:drawing>
            </w:r>
            <w:r>
              <w:rPr>
                <w:rFonts w:ascii="Times New Roman" w:hAnsi="Times New Roman" w:eastAsia="Times New Roman"/>
                <w:kern w:val="0"/>
                <w:sz w:val="24"/>
              </w:rPr>
              <w:t>77.78%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3073" w:type="dxa"/>
            <w:shd w:val="clear" w:color="auto" w:fill="F9F9F9"/>
            <w:vAlign w:val="center"/>
          </w:tcPr>
          <w:p>
            <w:pPr>
              <w:widowControl/>
              <w:jc w:val="left"/>
              <w:rPr>
                <w:rFonts w:hint="eastAsia" w:ascii="Times New Roman" w:hAnsi="Times New Roman" w:eastAsia="宋体"/>
                <w:kern w:val="0"/>
                <w:sz w:val="24"/>
                <w:lang w:eastAsia="zh-CN"/>
              </w:rPr>
            </w:pPr>
            <w:r>
              <w:rPr>
                <w:rFonts w:ascii="Times New Roman" w:hAnsi="Times New Roman" w:eastAsia="Times New Roman"/>
                <w:kern w:val="0"/>
                <w:sz w:val="24"/>
              </w:rPr>
              <w:t>（  ）</w:t>
            </w:r>
            <w:r>
              <w:rPr>
                <w:rFonts w:hint="eastAsia" w:ascii="Times New Roman" w:hAnsi="Times New Roman"/>
                <w:kern w:val="0"/>
                <w:sz w:val="24"/>
                <w:lang w:val="en-US" w:eastAsia="zh-CN"/>
              </w:rPr>
              <w:t>认同</w:t>
            </w:r>
          </w:p>
        </w:tc>
        <w:tc>
          <w:tcPr>
            <w:tcW w:w="1002" w:type="dxa"/>
            <w:shd w:val="clear" w:color="auto" w:fill="F9F9F9"/>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32</w:t>
            </w:r>
          </w:p>
        </w:tc>
        <w:tc>
          <w:tcPr>
            <w:tcW w:w="4441" w:type="dxa"/>
            <w:shd w:val="clear" w:color="auto" w:fill="F9F9F9"/>
            <w:vAlign w:val="center"/>
          </w:tcPr>
          <w:p>
            <w:pPr>
              <w:widowControl/>
              <w:jc w:val="left"/>
              <w:rPr>
                <w:rFonts w:ascii="Times New Roman" w:hAnsi="Times New Roman" w:eastAsia="Times New Roman"/>
                <w:kern w:val="0"/>
                <w:sz w:val="24"/>
              </w:rPr>
            </w:pPr>
            <w:r>
              <w:rPr>
                <w:rFonts w:ascii="Times New Roman" w:hAnsi="Times New Roman" w:eastAsia="Times New Roman"/>
                <w:kern w:val="0"/>
                <w:sz w:val="24"/>
              </w:rPr>
              <w:drawing>
                <wp:inline distT="0" distB="0" distL="114300" distR="114300">
                  <wp:extent cx="266700" cy="114300"/>
                  <wp:effectExtent l="0" t="0" r="7620" b="7620"/>
                  <wp:docPr id="9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3"/>
                          <pic:cNvPicPr>
                            <a:picLocks noChangeAspect="1"/>
                          </pic:cNvPicPr>
                        </pic:nvPicPr>
                        <pic:blipFill>
                          <a:blip r:embed="rId7"/>
                          <a:stretch>
                            <a:fillRect/>
                          </a:stretch>
                        </pic:blipFill>
                        <pic:spPr>
                          <a:xfrm>
                            <a:off x="0" y="0"/>
                            <a:ext cx="266700" cy="114300"/>
                          </a:xfrm>
                          <a:prstGeom prst="rect">
                            <a:avLst/>
                          </a:prstGeom>
                          <a:noFill/>
                          <a:ln>
                            <a:noFill/>
                          </a:ln>
                        </pic:spPr>
                      </pic:pic>
                    </a:graphicData>
                  </a:graphic>
                </wp:inline>
              </w:drawing>
            </w:r>
            <w:r>
              <w:rPr>
                <w:rFonts w:ascii="Times New Roman" w:hAnsi="Times New Roman" w:eastAsia="Times New Roman"/>
                <w:kern w:val="0"/>
                <w:sz w:val="24"/>
              </w:rPr>
              <w:drawing>
                <wp:inline distT="0" distB="0" distL="114300" distR="114300">
                  <wp:extent cx="1085850" cy="114300"/>
                  <wp:effectExtent l="0" t="0" r="11430" b="7620"/>
                  <wp:docPr id="9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4"/>
                          <pic:cNvPicPr>
                            <a:picLocks noChangeAspect="1"/>
                          </pic:cNvPicPr>
                        </pic:nvPicPr>
                        <pic:blipFill>
                          <a:blip r:embed="rId8"/>
                          <a:stretch>
                            <a:fillRect/>
                          </a:stretch>
                        </pic:blipFill>
                        <pic:spPr>
                          <a:xfrm>
                            <a:off x="0" y="0"/>
                            <a:ext cx="1085850" cy="114300"/>
                          </a:xfrm>
                          <a:prstGeom prst="rect">
                            <a:avLst/>
                          </a:prstGeom>
                          <a:noFill/>
                          <a:ln>
                            <a:noFill/>
                          </a:ln>
                        </pic:spPr>
                      </pic:pic>
                    </a:graphicData>
                  </a:graphic>
                </wp:inline>
              </w:drawing>
            </w:r>
            <w:r>
              <w:rPr>
                <w:rFonts w:ascii="Times New Roman" w:hAnsi="Times New Roman" w:eastAsia="Times New Roman"/>
                <w:kern w:val="0"/>
                <w:sz w:val="24"/>
              </w:rPr>
              <w:t>19.75%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3073" w:type="dxa"/>
            <w:shd w:val="clear" w:color="auto" w:fill="FFFFFF"/>
            <w:vAlign w:val="center"/>
          </w:tcPr>
          <w:p>
            <w:pPr>
              <w:widowControl/>
              <w:jc w:val="left"/>
              <w:rPr>
                <w:rFonts w:hint="eastAsia" w:ascii="Times New Roman" w:hAnsi="Times New Roman" w:eastAsia="宋体"/>
                <w:kern w:val="0"/>
                <w:sz w:val="24"/>
                <w:lang w:eastAsia="zh-CN"/>
              </w:rPr>
            </w:pPr>
            <w:r>
              <w:rPr>
                <w:rFonts w:ascii="Times New Roman" w:hAnsi="Times New Roman" w:eastAsia="Times New Roman"/>
                <w:kern w:val="0"/>
                <w:sz w:val="24"/>
              </w:rPr>
              <w:t>（  ）基本</w:t>
            </w:r>
            <w:r>
              <w:rPr>
                <w:rFonts w:hint="eastAsia" w:ascii="Times New Roman" w:hAnsi="Times New Roman"/>
                <w:kern w:val="0"/>
                <w:sz w:val="24"/>
                <w:lang w:val="en-US" w:eastAsia="zh-CN"/>
              </w:rPr>
              <w:t>认同</w:t>
            </w:r>
          </w:p>
        </w:tc>
        <w:tc>
          <w:tcPr>
            <w:tcW w:w="1002" w:type="dxa"/>
            <w:shd w:val="clear" w:color="auto" w:fill="FFFFFF"/>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4</w:t>
            </w:r>
          </w:p>
        </w:tc>
        <w:tc>
          <w:tcPr>
            <w:tcW w:w="4441" w:type="dxa"/>
            <w:shd w:val="clear" w:color="auto" w:fill="FFFFFF"/>
            <w:vAlign w:val="center"/>
          </w:tcPr>
          <w:p>
            <w:pPr>
              <w:widowControl/>
              <w:jc w:val="left"/>
              <w:rPr>
                <w:rFonts w:ascii="Times New Roman" w:hAnsi="Times New Roman" w:eastAsia="Times New Roman"/>
                <w:kern w:val="0"/>
                <w:sz w:val="24"/>
              </w:rPr>
            </w:pPr>
            <w:r>
              <w:rPr>
                <w:rFonts w:ascii="Times New Roman" w:hAnsi="Times New Roman" w:eastAsia="Times New Roman"/>
                <w:kern w:val="0"/>
                <w:sz w:val="24"/>
              </w:rPr>
              <w:drawing>
                <wp:inline distT="0" distB="0" distL="114300" distR="114300">
                  <wp:extent cx="28575" cy="114300"/>
                  <wp:effectExtent l="0" t="0" r="1905" b="7620"/>
                  <wp:docPr id="9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5"/>
                          <pic:cNvPicPr>
                            <a:picLocks noChangeAspect="1"/>
                          </pic:cNvPicPr>
                        </pic:nvPicPr>
                        <pic:blipFill>
                          <a:blip r:embed="rId9"/>
                          <a:stretch>
                            <a:fillRect/>
                          </a:stretch>
                        </pic:blipFill>
                        <pic:spPr>
                          <a:xfrm>
                            <a:off x="0" y="0"/>
                            <a:ext cx="28575" cy="114300"/>
                          </a:xfrm>
                          <a:prstGeom prst="rect">
                            <a:avLst/>
                          </a:prstGeom>
                          <a:noFill/>
                          <a:ln>
                            <a:noFill/>
                          </a:ln>
                        </pic:spPr>
                      </pic:pic>
                    </a:graphicData>
                  </a:graphic>
                </wp:inline>
              </w:drawing>
            </w:r>
            <w:r>
              <w:rPr>
                <w:rFonts w:ascii="Times New Roman" w:hAnsi="Times New Roman" w:eastAsia="Times New Roman"/>
                <w:kern w:val="0"/>
                <w:sz w:val="24"/>
              </w:rPr>
              <w:drawing>
                <wp:inline distT="0" distB="0" distL="114300" distR="114300">
                  <wp:extent cx="1323975" cy="114300"/>
                  <wp:effectExtent l="0" t="0" r="1905" b="7620"/>
                  <wp:docPr id="9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6"/>
                          <pic:cNvPicPr>
                            <a:picLocks noChangeAspect="1"/>
                          </pic:cNvPicPr>
                        </pic:nvPicPr>
                        <pic:blipFill>
                          <a:blip r:embed="rId10"/>
                          <a:stretch>
                            <a:fillRect/>
                          </a:stretch>
                        </pic:blipFill>
                        <pic:spPr>
                          <a:xfrm>
                            <a:off x="0" y="0"/>
                            <a:ext cx="1323975" cy="114300"/>
                          </a:xfrm>
                          <a:prstGeom prst="rect">
                            <a:avLst/>
                          </a:prstGeom>
                          <a:noFill/>
                          <a:ln>
                            <a:noFill/>
                          </a:ln>
                        </pic:spPr>
                      </pic:pic>
                    </a:graphicData>
                  </a:graphic>
                </wp:inline>
              </w:drawing>
            </w:r>
            <w:r>
              <w:rPr>
                <w:rFonts w:ascii="Times New Roman" w:hAnsi="Times New Roman" w:eastAsia="Times New Roman"/>
                <w:kern w:val="0"/>
                <w:sz w:val="24"/>
              </w:rPr>
              <w:t>2.47%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3073" w:type="dxa"/>
            <w:shd w:val="clear" w:color="auto" w:fill="F9F9F9"/>
            <w:vAlign w:val="center"/>
          </w:tcPr>
          <w:p>
            <w:pPr>
              <w:widowControl/>
              <w:jc w:val="left"/>
              <w:rPr>
                <w:rFonts w:hint="eastAsia" w:ascii="Times New Roman" w:hAnsi="Times New Roman" w:eastAsia="宋体"/>
                <w:kern w:val="0"/>
                <w:sz w:val="24"/>
                <w:lang w:val="en-US" w:eastAsia="zh-CN"/>
              </w:rPr>
            </w:pPr>
            <w:r>
              <w:rPr>
                <w:rFonts w:ascii="Times New Roman" w:hAnsi="Times New Roman" w:eastAsia="Times New Roman"/>
                <w:kern w:val="0"/>
                <w:sz w:val="24"/>
              </w:rPr>
              <w:t>（  ）不</w:t>
            </w:r>
            <w:r>
              <w:rPr>
                <w:rFonts w:hint="eastAsia" w:ascii="Times New Roman" w:hAnsi="Times New Roman"/>
                <w:kern w:val="0"/>
                <w:sz w:val="24"/>
                <w:lang w:val="en-US" w:eastAsia="zh-CN"/>
              </w:rPr>
              <w:t>认同</w:t>
            </w:r>
          </w:p>
        </w:tc>
        <w:tc>
          <w:tcPr>
            <w:tcW w:w="1002" w:type="dxa"/>
            <w:shd w:val="clear" w:color="auto" w:fill="F9F9F9"/>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0</w:t>
            </w:r>
          </w:p>
        </w:tc>
        <w:tc>
          <w:tcPr>
            <w:tcW w:w="4441" w:type="dxa"/>
            <w:shd w:val="clear" w:color="auto" w:fill="F9F9F9"/>
            <w:vAlign w:val="center"/>
          </w:tcPr>
          <w:p>
            <w:pPr>
              <w:widowControl/>
              <w:jc w:val="left"/>
              <w:rPr>
                <w:rFonts w:ascii="Times New Roman" w:hAnsi="Times New Roman" w:eastAsia="Times New Roman"/>
                <w:kern w:val="0"/>
                <w:sz w:val="24"/>
              </w:rPr>
            </w:pPr>
            <w:r>
              <w:rPr>
                <w:rFonts w:ascii="Times New Roman" w:hAnsi="Times New Roman" w:eastAsia="Times New Roman"/>
                <w:kern w:val="0"/>
                <w:sz w:val="24"/>
              </w:rPr>
              <w:drawing>
                <wp:inline distT="0" distB="0" distL="114300" distR="114300">
                  <wp:extent cx="1352550" cy="114300"/>
                  <wp:effectExtent l="0" t="0" r="3810" b="7620"/>
                  <wp:docPr id="9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7"/>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3073" w:type="dxa"/>
            <w:shd w:val="clear" w:color="auto" w:fill="F9F9F9"/>
            <w:vAlign w:val="center"/>
          </w:tcPr>
          <w:p>
            <w:pPr>
              <w:widowControl/>
              <w:jc w:val="left"/>
              <w:rPr>
                <w:rFonts w:hint="default" w:ascii="Times New Roman" w:hAnsi="Times New Roman" w:eastAsia="宋体"/>
                <w:kern w:val="0"/>
                <w:sz w:val="24"/>
                <w:lang w:val="en-US" w:eastAsia="zh-CN"/>
              </w:rPr>
            </w:pPr>
            <w:r>
              <w:rPr>
                <w:rFonts w:hint="eastAsia" w:ascii="Times New Roman" w:hAnsi="Times New Roman"/>
                <w:kern w:val="0"/>
                <w:sz w:val="24"/>
                <w:lang w:eastAsia="zh-CN"/>
              </w:rPr>
              <w:t>（</w:t>
            </w:r>
            <w:r>
              <w:rPr>
                <w:rFonts w:hint="eastAsia" w:ascii="Times New Roman" w:hAnsi="Times New Roman"/>
                <w:kern w:val="0"/>
                <w:sz w:val="24"/>
                <w:lang w:val="en-US" w:eastAsia="zh-CN"/>
              </w:rPr>
              <w:t xml:space="preserve">  </w:t>
            </w:r>
            <w:r>
              <w:rPr>
                <w:rFonts w:hint="eastAsia" w:ascii="Times New Roman" w:hAnsi="Times New Roman"/>
                <w:kern w:val="0"/>
                <w:sz w:val="24"/>
                <w:lang w:eastAsia="zh-CN"/>
              </w:rPr>
              <w:t>）</w:t>
            </w:r>
            <w:r>
              <w:rPr>
                <w:rFonts w:hint="eastAsia" w:ascii="Times New Roman" w:hAnsi="Times New Roman"/>
                <w:kern w:val="0"/>
                <w:sz w:val="24"/>
                <w:lang w:val="en-US" w:eastAsia="zh-CN"/>
              </w:rPr>
              <w:t>非常不认同</w:t>
            </w:r>
          </w:p>
        </w:tc>
        <w:tc>
          <w:tcPr>
            <w:tcW w:w="1002" w:type="dxa"/>
            <w:shd w:val="clear" w:color="auto" w:fill="F9F9F9"/>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0</w:t>
            </w:r>
          </w:p>
        </w:tc>
        <w:tc>
          <w:tcPr>
            <w:tcW w:w="4441" w:type="dxa"/>
            <w:shd w:val="clear" w:color="auto" w:fill="F9F9F9"/>
            <w:vAlign w:val="center"/>
          </w:tcPr>
          <w:p>
            <w:pPr>
              <w:widowControl/>
              <w:jc w:val="left"/>
              <w:rPr>
                <w:rFonts w:hint="default" w:ascii="Times New Roman" w:hAnsi="Times New Roman" w:eastAsia="宋体"/>
                <w:kern w:val="0"/>
                <w:sz w:val="24"/>
                <w:lang w:val="en-US" w:eastAsia="zh-CN"/>
              </w:rPr>
            </w:pPr>
            <w:r>
              <w:rPr>
                <w:rFonts w:ascii="Times New Roman" w:hAnsi="Times New Roman" w:eastAsia="Times New Roman"/>
                <w:kern w:val="0"/>
                <w:sz w:val="24"/>
              </w:rPr>
              <w:drawing>
                <wp:inline distT="0" distB="0" distL="114300" distR="114300">
                  <wp:extent cx="1352550" cy="114300"/>
                  <wp:effectExtent l="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rPr>
                <w:rFonts w:hint="eastAsia" w:ascii="Times New Roman" w:hAnsi="Times New Roman"/>
                <w:kern w:val="0"/>
                <w:sz w:val="24"/>
                <w:lang w:val="en-US" w:eastAsia="zh-CN"/>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3073" w:type="dxa"/>
            <w:shd w:val="clear" w:color="auto" w:fill="E0E0E0"/>
            <w:vAlign w:val="center"/>
          </w:tcPr>
          <w:p>
            <w:pPr>
              <w:widowControl/>
              <w:jc w:val="left"/>
              <w:rPr>
                <w:rFonts w:ascii="Times New Roman" w:hAnsi="Times New Roman" w:eastAsia="Times New Roman"/>
                <w:kern w:val="0"/>
                <w:sz w:val="24"/>
              </w:rPr>
            </w:pPr>
            <w:r>
              <w:rPr>
                <w:rFonts w:ascii="Times New Roman" w:hAnsi="Times New Roman" w:eastAsia="Times New Roman"/>
                <w:kern w:val="0"/>
                <w:sz w:val="24"/>
              </w:rPr>
              <w:t>本题有效填写人次</w:t>
            </w:r>
          </w:p>
        </w:tc>
        <w:tc>
          <w:tcPr>
            <w:tcW w:w="1002" w:type="dxa"/>
            <w:shd w:val="clear" w:color="auto" w:fill="E0E0E0"/>
            <w:vAlign w:val="center"/>
          </w:tcPr>
          <w:p>
            <w:pPr>
              <w:widowControl/>
              <w:jc w:val="center"/>
              <w:rPr>
                <w:rFonts w:ascii="Times New Roman" w:hAnsi="Times New Roman" w:eastAsia="Times New Roman"/>
                <w:kern w:val="0"/>
                <w:sz w:val="24"/>
              </w:rPr>
            </w:pPr>
            <w:r>
              <w:rPr>
                <w:rFonts w:ascii="Times New Roman" w:hAnsi="Times New Roman" w:eastAsia="Times New Roman"/>
                <w:kern w:val="0"/>
                <w:sz w:val="24"/>
              </w:rPr>
              <w:t>162</w:t>
            </w:r>
          </w:p>
        </w:tc>
        <w:tc>
          <w:tcPr>
            <w:tcW w:w="4441" w:type="dxa"/>
            <w:shd w:val="clear" w:color="auto" w:fill="E0E0E0"/>
            <w:vAlign w:val="center"/>
          </w:tcPr>
          <w:p>
            <w:pPr>
              <w:widowControl/>
              <w:jc w:val="left"/>
              <w:rPr>
                <w:rFonts w:ascii="Times New Roman" w:hAnsi="Times New Roman" w:eastAsia="Times New Roman"/>
                <w:kern w:val="0"/>
                <w:sz w:val="24"/>
              </w:rPr>
            </w:pPr>
          </w:p>
        </w:tc>
      </w:tr>
    </w:tbl>
    <w:p>
      <w:pPr>
        <w:spacing w:line="520" w:lineRule="exact"/>
        <w:ind w:firstLine="560" w:firstLineChars="200"/>
        <w:rPr>
          <w:rFonts w:ascii="黑体" w:hAnsi="黑体" w:eastAsia="黑体" w:cs="宋体"/>
          <w:b/>
          <w:bCs/>
          <w:sz w:val="28"/>
          <w:szCs w:val="28"/>
        </w:rPr>
      </w:pPr>
      <w:r>
        <w:rPr>
          <w:rFonts w:hint="eastAsia" w:ascii="仿宋" w:hAnsi="仿宋" w:eastAsia="仿宋" w:cs="___WRD_EMBED_SUB_39"/>
          <w:sz w:val="28"/>
          <w:szCs w:val="28"/>
        </w:rPr>
        <w:t>由调查数据可知，毕业生已达到该项的毕业要求，其中77.78%的毕业生</w:t>
      </w:r>
      <w:r>
        <w:rPr>
          <w:rFonts w:hint="eastAsia" w:ascii="仿宋" w:hAnsi="仿宋" w:eastAsia="仿宋" w:cs="___WRD_EMBED_SUB_39"/>
          <w:sz w:val="28"/>
          <w:szCs w:val="28"/>
          <w:lang w:val="en-US" w:eastAsia="zh-CN"/>
        </w:rPr>
        <w:t>非常认同</w:t>
      </w:r>
      <w:r>
        <w:rPr>
          <w:rFonts w:hint="eastAsia" w:ascii="仿宋" w:hAnsi="仿宋" w:eastAsia="仿宋" w:cs="___WRD_EMBED_SUB_39"/>
          <w:sz w:val="28"/>
          <w:szCs w:val="28"/>
        </w:rPr>
        <w:t>，19.75%的毕业生</w:t>
      </w:r>
      <w:r>
        <w:rPr>
          <w:rFonts w:hint="eastAsia" w:ascii="仿宋" w:hAnsi="仿宋" w:eastAsia="仿宋" w:cs="___WRD_EMBED_SUB_39"/>
          <w:sz w:val="28"/>
          <w:szCs w:val="28"/>
          <w:lang w:val="en-US" w:eastAsia="zh-CN"/>
        </w:rPr>
        <w:t>认同</w:t>
      </w:r>
      <w:r>
        <w:rPr>
          <w:rFonts w:hint="eastAsia" w:ascii="仿宋" w:hAnsi="仿宋" w:eastAsia="仿宋" w:cs="___WRD_EMBED_SUB_39"/>
          <w:sz w:val="28"/>
          <w:szCs w:val="28"/>
        </w:rPr>
        <w:t>，同时还有2.47%的毕业生基本</w:t>
      </w:r>
      <w:r>
        <w:rPr>
          <w:rFonts w:hint="eastAsia" w:ascii="仿宋" w:hAnsi="仿宋" w:eastAsia="仿宋" w:cs="___WRD_EMBED_SUB_39"/>
          <w:sz w:val="28"/>
          <w:szCs w:val="28"/>
          <w:lang w:val="en-US" w:eastAsia="zh-CN"/>
        </w:rPr>
        <w:t>认同</w:t>
      </w:r>
      <w:r>
        <w:rPr>
          <w:rFonts w:hint="eastAsia" w:ascii="仿宋" w:hAnsi="仿宋" w:eastAsia="仿宋" w:cs="___WRD_EMBED_SUB_39"/>
          <w:sz w:val="28"/>
          <w:szCs w:val="28"/>
        </w:rPr>
        <w:t>，由公式可以计算出毕业要求1.1的达成度评价值为：0.938，达到毕业要求。</w:t>
      </w:r>
    </w:p>
    <w:p>
      <w:pPr>
        <w:spacing w:line="54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六、评价周期</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专业毕业要求达成度评价每年进行一次，确保对每一届毕业生都进行毕业要求达成度评价。评价结果形成“毕业要求达成度评价分析报告”记录文档。要求评价记录完整、可追踪、可核算、可量化。每年5月底之前，完成对上届毕业生的毕业要求达成度的评价，并形成评价结果和分析报告。</w:t>
      </w:r>
    </w:p>
    <w:p>
      <w:pPr>
        <w:spacing w:line="54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七、评价结果及运用</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评价负责人对毕业要求达成度评价结果进行分析和诊断，形成《专业毕业要求达成度评价报告》，报告应对每一个毕业要求的达成情况进行详细的分析，找出教学环节、课程体系的弱点，并提出针对性的整改措施。报告提交至学院，由学院组织教学指导委员会进行审议，提出具体的意见或建议。专业负责人及系部应根据报告整改措施与审议意见和建议组织教师进行整改，从而保障各个教学环节、课程体系、课程大纲均能围绕毕业要求达成这个核心任务来实施。毕业要求达成度评价记录和分析报告由文学院存档，保存6年。评价结果作为专业对毕业要求调整的重要依据，每</w:t>
      </w:r>
      <w:r>
        <w:rPr>
          <w:rFonts w:ascii="仿宋" w:hAnsi="仿宋" w:eastAsia="仿宋" w:cs="仿宋"/>
          <w:sz w:val="28"/>
          <w:szCs w:val="28"/>
        </w:rPr>
        <w:t>3</w:t>
      </w:r>
      <w:r>
        <w:rPr>
          <w:rFonts w:hint="eastAsia" w:ascii="仿宋" w:hAnsi="仿宋" w:eastAsia="仿宋" w:cs="仿宋"/>
          <w:sz w:val="28"/>
          <w:szCs w:val="28"/>
        </w:rPr>
        <w:t>年调整一次专业毕业要求。</w:t>
      </w:r>
    </w:p>
    <w:p>
      <w:pPr>
        <w:spacing w:line="540" w:lineRule="exact"/>
        <w:ind w:firstLine="560" w:firstLineChars="200"/>
        <w:rPr>
          <w:rFonts w:ascii="仿宋" w:hAnsi="仿宋" w:eastAsia="仿宋" w:cs="仿宋"/>
          <w:sz w:val="28"/>
          <w:szCs w:val="28"/>
        </w:rPr>
      </w:pPr>
    </w:p>
    <w:p>
      <w:pPr>
        <w:spacing w:line="540" w:lineRule="exact"/>
        <w:ind w:firstLine="560" w:firstLineChars="200"/>
        <w:jc w:val="right"/>
        <w:rPr>
          <w:rFonts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湖南女子学院文学院</w:t>
      </w:r>
    </w:p>
    <w:p>
      <w:pPr>
        <w:spacing w:line="540" w:lineRule="exact"/>
        <w:ind w:firstLine="562" w:firstLineChars="200"/>
        <w:jc w:val="right"/>
        <w:rPr>
          <w:rFonts w:ascii="仿宋" w:hAnsi="仿宋" w:eastAsia="仿宋" w:cs="仿宋"/>
          <w:b/>
          <w:bCs/>
          <w:sz w:val="28"/>
          <w:szCs w:val="28"/>
        </w:rPr>
      </w:pPr>
      <w:r>
        <w:rPr>
          <w:rFonts w:hint="eastAsia" w:ascii="仿宋" w:hAnsi="仿宋" w:eastAsia="仿宋" w:cs="仿宋"/>
          <w:b/>
          <w:bCs/>
          <w:sz w:val="28"/>
          <w:szCs w:val="28"/>
        </w:rPr>
        <w:t xml:space="preserve">                           2022年6月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__WRD_EMBED_SUB_39">
    <w:altName w:val="宋体"/>
    <w:panose1 w:val="00000000000000000000"/>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33C6462"/>
    <w:rsid w:val="00013A63"/>
    <w:rsid w:val="00043934"/>
    <w:rsid w:val="00087196"/>
    <w:rsid w:val="000A0913"/>
    <w:rsid w:val="000B5FF1"/>
    <w:rsid w:val="001629E7"/>
    <w:rsid w:val="0018749F"/>
    <w:rsid w:val="00246928"/>
    <w:rsid w:val="003A6F4B"/>
    <w:rsid w:val="003C2BD6"/>
    <w:rsid w:val="003D170F"/>
    <w:rsid w:val="0047170D"/>
    <w:rsid w:val="004B6A84"/>
    <w:rsid w:val="004F7BEA"/>
    <w:rsid w:val="006D4EC1"/>
    <w:rsid w:val="00777CA1"/>
    <w:rsid w:val="007845A5"/>
    <w:rsid w:val="007A10DF"/>
    <w:rsid w:val="007B540C"/>
    <w:rsid w:val="008467B8"/>
    <w:rsid w:val="008728EE"/>
    <w:rsid w:val="0088790D"/>
    <w:rsid w:val="00890F16"/>
    <w:rsid w:val="008B4D2D"/>
    <w:rsid w:val="00912896"/>
    <w:rsid w:val="00947641"/>
    <w:rsid w:val="00A017AB"/>
    <w:rsid w:val="00A85655"/>
    <w:rsid w:val="00AE69DD"/>
    <w:rsid w:val="00B1138D"/>
    <w:rsid w:val="00B444B1"/>
    <w:rsid w:val="00BE27F3"/>
    <w:rsid w:val="00C0206D"/>
    <w:rsid w:val="00C17429"/>
    <w:rsid w:val="00CC1282"/>
    <w:rsid w:val="00DE034E"/>
    <w:rsid w:val="00E23259"/>
    <w:rsid w:val="00E60BDD"/>
    <w:rsid w:val="00E672E9"/>
    <w:rsid w:val="00E759F8"/>
    <w:rsid w:val="00EF708B"/>
    <w:rsid w:val="00F11215"/>
    <w:rsid w:val="00F73EFC"/>
    <w:rsid w:val="00F830BE"/>
    <w:rsid w:val="00FB163A"/>
    <w:rsid w:val="00FF2543"/>
    <w:rsid w:val="01740BED"/>
    <w:rsid w:val="05680091"/>
    <w:rsid w:val="085E7151"/>
    <w:rsid w:val="0B715AE7"/>
    <w:rsid w:val="0E8F516F"/>
    <w:rsid w:val="1D832D30"/>
    <w:rsid w:val="1E9503D0"/>
    <w:rsid w:val="1F451615"/>
    <w:rsid w:val="233C6462"/>
    <w:rsid w:val="248848C1"/>
    <w:rsid w:val="26B95E83"/>
    <w:rsid w:val="2FCB3085"/>
    <w:rsid w:val="377C125A"/>
    <w:rsid w:val="3D1C5AF3"/>
    <w:rsid w:val="487B326F"/>
    <w:rsid w:val="4AD1029F"/>
    <w:rsid w:val="4C03387D"/>
    <w:rsid w:val="4DBC2143"/>
    <w:rsid w:val="4DE34D4C"/>
    <w:rsid w:val="4EA824AB"/>
    <w:rsid w:val="4EBE76BB"/>
    <w:rsid w:val="5D5F48DB"/>
    <w:rsid w:val="614E75D3"/>
    <w:rsid w:val="62ED0A6B"/>
    <w:rsid w:val="64071F54"/>
    <w:rsid w:val="66FA51EE"/>
    <w:rsid w:val="6AD42C96"/>
    <w:rsid w:val="6B533A81"/>
    <w:rsid w:val="75DC56B6"/>
    <w:rsid w:val="76AE1BDF"/>
    <w:rsid w:val="7B1B3597"/>
    <w:rsid w:val="7C02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页脚 字符"/>
    <w:basedOn w:val="8"/>
    <w:link w:val="4"/>
    <w:qFormat/>
    <w:uiPriority w:val="0"/>
    <w:rPr>
      <w:rFonts w:ascii="Calibri" w:hAnsi="Calibri" w:eastAsia="宋体" w:cs="Times New Roman"/>
      <w:kern w:val="2"/>
      <w:sz w:val="18"/>
      <w:szCs w:val="18"/>
    </w:rPr>
  </w:style>
  <w:style w:type="character" w:customStyle="1" w:styleId="12">
    <w:name w:val="批注框文本 字符"/>
    <w:basedOn w:val="8"/>
    <w:link w:val="3"/>
    <w:qFormat/>
    <w:uiPriority w:val="0"/>
    <w:rPr>
      <w:rFonts w:ascii="Calibri" w:hAnsi="Calibri" w:eastAsia="宋体" w:cs="Times New Roman"/>
      <w:kern w:val="2"/>
      <w:sz w:val="18"/>
      <w:szCs w:val="18"/>
    </w:rPr>
  </w:style>
  <w:style w:type="character" w:customStyle="1" w:styleId="13">
    <w:name w:val="批注文字 字符"/>
    <w:basedOn w:val="8"/>
    <w:link w:val="2"/>
    <w:qFormat/>
    <w:uiPriority w:val="0"/>
    <w:rPr>
      <w:rFonts w:ascii="Calibri" w:hAnsi="Calibri" w:eastAsia="宋体" w:cs="Times New Roman"/>
      <w:kern w:val="2"/>
      <w:sz w:val="21"/>
      <w:szCs w:val="24"/>
    </w:rPr>
  </w:style>
  <w:style w:type="character" w:customStyle="1" w:styleId="14">
    <w:name w:val="批注主题 字符"/>
    <w:basedOn w:val="13"/>
    <w:link w:val="6"/>
    <w:qFormat/>
    <w:uiPriority w:val="0"/>
    <w:rPr>
      <w:rFonts w:ascii="Calibri" w:hAnsi="Calibri" w:eastAsia="宋体" w:cs="Times New Roman"/>
      <w:b/>
      <w:bCs/>
      <w:kern w:val="2"/>
      <w:sz w:val="21"/>
      <w:szCs w:val="24"/>
    </w:rPr>
  </w:style>
  <w:style w:type="paragraph" w:customStyle="1" w:styleId="15">
    <w:name w:val="Heading #2|1"/>
    <w:basedOn w:val="1"/>
    <w:qFormat/>
    <w:uiPriority w:val="0"/>
    <w:pPr>
      <w:spacing w:after="540" w:line="763" w:lineRule="exact"/>
      <w:jc w:val="center"/>
      <w:outlineLvl w:val="1"/>
    </w:pPr>
    <w:rPr>
      <w:rFonts w:ascii="宋体" w:hAnsi="宋体" w:cs="宋体"/>
      <w:color w:val="32454D"/>
      <w:sz w:val="44"/>
      <w:szCs w:val="4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420</Words>
  <Characters>2398</Characters>
  <Lines>19</Lines>
  <Paragraphs>5</Paragraphs>
  <TotalTime>1</TotalTime>
  <ScaleCrop>false</ScaleCrop>
  <LinksUpToDate>false</LinksUpToDate>
  <CharactersWithSpaces>2813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2021-05-10T08:10:00Z</dcterms:created>
  <dc:creator>苗</dc:creator>
  <cp:lastModifiedBy>邹远志</cp:lastModifiedBy>
  <cp:lastPrinted>2021-05-10T08:08:00Z</cp:lastPrinted>
  <dcterms:modified xsi:type="dcterms:W3CDTF">2023-04-30T14:05:25Z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88149D76334342DE946BD5F66A2D71FC</vt:lpwstr>
  </property>
</Properties>
</file>