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line="800" w:lineRule="exact"/>
        <w:jc w:val="center"/>
        <w:rPr>
          <w:rFonts w:ascii="华文中宋" w:hAnsi="华文中宋" w:eastAsia="华文中宋" w:cs="宋体"/>
          <w:b/>
          <w:color w:val="FF0000"/>
          <w:w w:val="65"/>
          <w:kern w:val="0"/>
          <w:sz w:val="74"/>
          <w:szCs w:val="74"/>
        </w:rPr>
      </w:pPr>
      <w:bookmarkStart w:id="0" w:name="bookmark5"/>
      <w:bookmarkStart w:id="1" w:name="bookmark4"/>
      <w:bookmarkStart w:id="2" w:name="bookmark3"/>
      <w:r>
        <w:rPr>
          <w:rFonts w:ascii="华文中宋" w:hAnsi="华文中宋" w:eastAsia="华文中宋" w:cs="宋体"/>
          <w:b/>
          <w:color w:val="FF0000"/>
          <w:w w:val="65"/>
          <w:kern w:val="0"/>
          <w:sz w:val="74"/>
          <w:szCs w:val="74"/>
        </w:rPr>
        <w:t>湖南女子学院</w:t>
      </w:r>
      <w:r>
        <w:rPr>
          <w:rFonts w:hint="eastAsia" w:ascii="华文中宋" w:hAnsi="华文中宋" w:eastAsia="华文中宋" w:cs="宋体"/>
          <w:b/>
          <w:color w:val="FF0000"/>
          <w:w w:val="65"/>
          <w:kern w:val="0"/>
          <w:sz w:val="74"/>
          <w:szCs w:val="74"/>
        </w:rPr>
        <w:t>教学质量监测与评估中心</w:t>
      </w:r>
    </w:p>
    <w:p>
      <w:pPr>
        <w:widowControl/>
        <w:spacing w:before="312" w:beforeLines="100" w:line="360" w:lineRule="exact"/>
        <w:jc w:val="center"/>
        <w:rPr>
          <w:rFonts w:ascii="楷体" w:hAnsi="楷体" w:eastAsia="楷体" w:cs="宋体"/>
          <w:color w:val="000000"/>
          <w:w w:val="80"/>
          <w:kern w:val="0"/>
          <w:sz w:val="36"/>
          <w:szCs w:val="36"/>
        </w:rPr>
      </w:pPr>
      <w:r>
        <w:rPr>
          <w:rFonts w:hint="eastAsia" w:ascii="楷体" w:hAnsi="楷体" w:eastAsia="楷体" w:cs="宋体"/>
          <w:color w:val="000000"/>
          <w:w w:val="80"/>
          <w:kern w:val="0"/>
          <w:sz w:val="36"/>
          <w:szCs w:val="36"/>
        </w:rPr>
        <w:t>湘女院教评字〔202</w:t>
      </w:r>
      <w:r>
        <w:rPr>
          <w:rFonts w:hint="eastAsia" w:ascii="楷体" w:hAnsi="楷体" w:eastAsia="楷体" w:cs="宋体"/>
          <w:color w:val="000000"/>
          <w:w w:val="80"/>
          <w:kern w:val="0"/>
          <w:sz w:val="36"/>
          <w:szCs w:val="36"/>
          <w:lang w:val="en-US" w:eastAsia="zh-CN"/>
        </w:rPr>
        <w:t>1</w:t>
      </w:r>
      <w:r>
        <w:rPr>
          <w:rFonts w:hint="eastAsia" w:ascii="楷体" w:hAnsi="楷体" w:eastAsia="楷体" w:cs="宋体"/>
          <w:color w:val="000000"/>
          <w:w w:val="80"/>
          <w:kern w:val="0"/>
          <w:sz w:val="36"/>
          <w:szCs w:val="36"/>
        </w:rPr>
        <w:t>〕</w:t>
      </w:r>
      <w:r>
        <w:rPr>
          <w:rFonts w:hint="eastAsia" w:ascii="楷体" w:hAnsi="楷体" w:eastAsia="楷体" w:cs="宋体"/>
          <w:color w:val="000000"/>
          <w:w w:val="80"/>
          <w:kern w:val="0"/>
          <w:sz w:val="36"/>
          <w:szCs w:val="36"/>
          <w:lang w:val="en-US" w:eastAsia="zh-CN"/>
        </w:rPr>
        <w:t>44</w:t>
      </w:r>
      <w:r>
        <w:rPr>
          <w:rFonts w:hint="eastAsia" w:ascii="楷体" w:hAnsi="楷体" w:eastAsia="楷体" w:cs="宋体"/>
          <w:color w:val="000000"/>
          <w:w w:val="80"/>
          <w:kern w:val="0"/>
          <w:sz w:val="36"/>
          <w:szCs w:val="36"/>
        </w:rPr>
        <w:t>号</w:t>
      </w:r>
    </w:p>
    <w:p>
      <w:pPr>
        <w:pStyle w:val="11"/>
        <w:keepNext/>
        <w:keepLines/>
        <w:pageBreakBefore w:val="0"/>
        <w:widowControl w:val="0"/>
        <w:shd w:val="clear" w:color="auto" w:fill="auto"/>
        <w:tabs>
          <w:tab w:val="left" w:leader="hyphen" w:pos="2453"/>
          <w:tab w:val="left" w:leader="hyphen" w:pos="8414"/>
        </w:tabs>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b/>
          <w:bCs/>
          <w:color w:val="000000"/>
          <w:spacing w:val="0"/>
          <w:w w:val="100"/>
          <w:position w:val="0"/>
          <w:sz w:val="32"/>
          <w:szCs w:val="32"/>
        </w:rPr>
      </w:pPr>
      <w:r>
        <w:rPr>
          <w:color w:val="FF0000"/>
          <w:sz w:val="32"/>
          <w:szCs w:val="32"/>
        </w:rPr>
        <mc:AlternateContent>
          <mc:Choice Requires="wps">
            <w:drawing>
              <wp:anchor distT="0" distB="0" distL="114300" distR="114300" simplePos="0" relativeHeight="251659264" behindDoc="0" locked="0" layoutInCell="1" allowOverlap="1">
                <wp:simplePos x="0" y="0"/>
                <wp:positionH relativeFrom="margin">
                  <wp:posOffset>-58420</wp:posOffset>
                </wp:positionH>
                <wp:positionV relativeFrom="paragraph">
                  <wp:posOffset>98425</wp:posOffset>
                </wp:positionV>
                <wp:extent cx="5784215" cy="0"/>
                <wp:effectExtent l="0" t="19050" r="6985" b="19050"/>
                <wp:wrapNone/>
                <wp:docPr id="5" name="直接连接符 5"/>
                <wp:cNvGraphicFramePr/>
                <a:graphic xmlns:a="http://schemas.openxmlformats.org/drawingml/2006/main">
                  <a:graphicData uri="http://schemas.microsoft.com/office/word/2010/wordprocessingShape">
                    <wps:wsp>
                      <wps:cNvSpPr/>
                      <wps:spPr>
                        <a:xfrm>
                          <a:off x="0" y="0"/>
                          <a:ext cx="578421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pt;margin-top:7.75pt;height:0pt;width:455.45pt;mso-position-horizontal-relative:margin;z-index:251659264;mso-width-relative:page;mso-height-relative:page;" filled="f" stroked="t" coordsize="21600,21600" o:gfxdata="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YUvO9kAAAAIAQAADwAAAAAAAAABACAAAAAiAAAAZHJzL2Rvd25yZXYueG1s&#10;UEsBAhQAFAAAAAgAh07iQHU8vML3AQAA5QMAAA4AAAAAAAAAAQAgAAAAKAEAAGRycy9lMm9Eb2Mu&#10;eG1sUEsFBgAAAAAGAAYAWQEAAJEFAAAAAA==&#10;">
                <v:fill on="f" focussize="0,0"/>
                <v:stroke weight="3pt" color="#FF0000" joinstyle="round"/>
                <v:imagedata o:title=""/>
                <o:lock v:ext="edit" aspectratio="f"/>
              </v:line>
            </w:pict>
          </mc:Fallback>
        </mc:AlternateContent>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0"/>
        <w:jc w:val="center"/>
        <w:textAlignment w:val="auto"/>
        <w:rPr>
          <w:b/>
          <w:bCs/>
          <w:color w:val="000000"/>
          <w:spacing w:val="0"/>
          <w:w w:val="100"/>
          <w:position w:val="0"/>
          <w:sz w:val="36"/>
          <w:szCs w:val="36"/>
        </w:rPr>
      </w:pPr>
      <w:r>
        <w:rPr>
          <w:b/>
          <w:bCs/>
          <w:color w:val="000000"/>
          <w:spacing w:val="0"/>
          <w:w w:val="100"/>
          <w:position w:val="0"/>
          <w:sz w:val="36"/>
          <w:szCs w:val="36"/>
        </w:rPr>
        <w:t>湖南</w:t>
      </w:r>
      <w:r>
        <w:rPr>
          <w:rFonts w:hint="eastAsia"/>
          <w:b/>
          <w:bCs/>
          <w:color w:val="000000"/>
          <w:spacing w:val="0"/>
          <w:w w:val="100"/>
          <w:position w:val="0"/>
          <w:sz w:val="36"/>
          <w:szCs w:val="36"/>
          <w:lang w:eastAsia="zh-CN"/>
        </w:rPr>
        <w:t>女子学院</w:t>
      </w:r>
      <w:r>
        <w:rPr>
          <w:b/>
          <w:bCs/>
          <w:color w:val="000000"/>
          <w:spacing w:val="0"/>
          <w:w w:val="100"/>
          <w:position w:val="0"/>
          <w:sz w:val="36"/>
          <w:szCs w:val="36"/>
        </w:rPr>
        <w:t>师范类专业人才培养目标评价</w:t>
      </w:r>
      <w:bookmarkEnd w:id="0"/>
      <w:bookmarkEnd w:id="1"/>
      <w:bookmarkEnd w:id="2"/>
      <w:bookmarkStart w:id="3" w:name="bookmark8"/>
      <w:bookmarkStart w:id="4" w:name="bookmark6"/>
      <w:bookmarkStart w:id="5" w:name="bookmark7"/>
      <w:r>
        <w:rPr>
          <w:b/>
          <w:bCs/>
          <w:color w:val="000000"/>
          <w:spacing w:val="0"/>
          <w:w w:val="100"/>
          <w:position w:val="0"/>
          <w:sz w:val="36"/>
          <w:szCs w:val="36"/>
        </w:rPr>
        <w:t>管理与</w:t>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0"/>
        <w:jc w:val="center"/>
        <w:textAlignment w:val="auto"/>
        <w:rPr>
          <w:b/>
          <w:bCs/>
          <w:sz w:val="36"/>
          <w:szCs w:val="36"/>
        </w:rPr>
      </w:pPr>
      <w:r>
        <w:rPr>
          <w:b/>
          <w:bCs/>
          <w:color w:val="000000"/>
          <w:spacing w:val="0"/>
          <w:w w:val="100"/>
          <w:position w:val="0"/>
          <w:sz w:val="36"/>
          <w:szCs w:val="36"/>
        </w:rPr>
        <w:t>实施办法（试行）</w:t>
      </w:r>
      <w:bookmarkEnd w:id="3"/>
      <w:bookmarkEnd w:id="4"/>
      <w:bookmarkEnd w:id="5"/>
    </w:p>
    <w:p>
      <w:pPr>
        <w:pStyle w:val="13"/>
        <w:keepNext/>
        <w:keepLines/>
        <w:pageBreakBefore w:val="0"/>
        <w:widowControl w:val="0"/>
        <w:shd w:val="clear" w:color="auto" w:fill="auto"/>
        <w:kinsoku/>
        <w:wordWrap/>
        <w:overflowPunct/>
        <w:topLinePunct w:val="0"/>
        <w:autoSpaceDE/>
        <w:autoSpaceDN/>
        <w:bidi w:val="0"/>
        <w:adjustRightInd/>
        <w:snapToGrid/>
        <w:spacing w:before="361" w:beforeLines="100" w:after="0" w:line="480" w:lineRule="exact"/>
        <w:ind w:left="0" w:right="0" w:firstLine="0"/>
        <w:jc w:val="center"/>
        <w:textAlignment w:val="auto"/>
        <w:rPr>
          <w:sz w:val="28"/>
          <w:szCs w:val="28"/>
        </w:rPr>
      </w:pPr>
      <w:bookmarkStart w:id="6" w:name="bookmark9"/>
      <w:bookmarkStart w:id="7" w:name="bookmark10"/>
      <w:bookmarkStart w:id="8" w:name="bookmark11"/>
      <w:r>
        <w:rPr>
          <w:color w:val="000000"/>
          <w:spacing w:val="0"/>
          <w:w w:val="100"/>
          <w:position w:val="0"/>
          <w:sz w:val="28"/>
          <w:szCs w:val="28"/>
        </w:rPr>
        <w:t>第一章</w:t>
      </w:r>
      <w:r>
        <w:rPr>
          <w:rFonts w:hint="eastAsia"/>
          <w:color w:val="000000"/>
          <w:spacing w:val="0"/>
          <w:w w:val="100"/>
          <w:position w:val="0"/>
          <w:sz w:val="28"/>
          <w:szCs w:val="28"/>
          <w:lang w:val="en-US" w:eastAsia="zh-CN"/>
        </w:rPr>
        <w:t xml:space="preserve">  </w:t>
      </w:r>
      <w:r>
        <w:rPr>
          <w:color w:val="000000"/>
          <w:spacing w:val="0"/>
          <w:w w:val="100"/>
          <w:position w:val="0"/>
          <w:sz w:val="28"/>
          <w:szCs w:val="28"/>
        </w:rPr>
        <w:t>总</w:t>
      </w:r>
      <w:r>
        <w:rPr>
          <w:rFonts w:hint="eastAsia"/>
          <w:color w:val="000000"/>
          <w:spacing w:val="0"/>
          <w:w w:val="100"/>
          <w:position w:val="0"/>
          <w:sz w:val="28"/>
          <w:szCs w:val="28"/>
          <w:lang w:val="en-US" w:eastAsia="zh-CN"/>
        </w:rPr>
        <w:t xml:space="preserve">  </w:t>
      </w:r>
      <w:r>
        <w:rPr>
          <w:color w:val="000000"/>
          <w:spacing w:val="0"/>
          <w:w w:val="100"/>
          <w:position w:val="0"/>
          <w:sz w:val="28"/>
          <w:szCs w:val="28"/>
        </w:rPr>
        <w:t>则</w:t>
      </w:r>
      <w:bookmarkEnd w:id="6"/>
      <w:bookmarkEnd w:id="7"/>
      <w:bookmarkEnd w:id="8"/>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sz w:val="28"/>
          <w:szCs w:val="28"/>
        </w:rPr>
      </w:pPr>
      <w:r>
        <w:rPr>
          <w:b/>
          <w:bCs/>
          <w:color w:val="000000"/>
          <w:spacing w:val="0"/>
          <w:w w:val="100"/>
          <w:position w:val="0"/>
          <w:sz w:val="28"/>
          <w:szCs w:val="28"/>
        </w:rPr>
        <w:t>第一条</w:t>
      </w:r>
      <w:r>
        <w:rPr>
          <w:rFonts w:hint="eastAsia"/>
          <w:b/>
          <w:bCs/>
          <w:color w:val="000000"/>
          <w:spacing w:val="0"/>
          <w:w w:val="100"/>
          <w:position w:val="0"/>
          <w:sz w:val="28"/>
          <w:szCs w:val="28"/>
          <w:lang w:val="en-US" w:eastAsia="zh-CN"/>
        </w:rPr>
        <w:t xml:space="preserve"> </w:t>
      </w:r>
      <w:r>
        <w:rPr>
          <w:b w:val="0"/>
          <w:bCs w:val="0"/>
          <w:color w:val="000000"/>
          <w:spacing w:val="0"/>
          <w:w w:val="100"/>
          <w:position w:val="0"/>
          <w:sz w:val="28"/>
          <w:szCs w:val="28"/>
        </w:rPr>
        <w:t>为</w:t>
      </w:r>
      <w:r>
        <w:rPr>
          <w:color w:val="000000"/>
          <w:spacing w:val="0"/>
          <w:w w:val="100"/>
          <w:position w:val="0"/>
          <w:sz w:val="28"/>
          <w:szCs w:val="28"/>
        </w:rPr>
        <w:t>进一步贯彻落实习近平总书记关于教育的重要论述和全国教育大会精神，持续深化本科教育改革，推进专业内涵建设，建立基于产出的评价改进机制，保障和提高人才培养质量，根据《普通高等学校本科专业类教学质量国家标准》（以下简称《国标》）、《普通高等学校师范类专业认证实施办法</w:t>
      </w:r>
      <w:r>
        <w:rPr>
          <w:b w:val="0"/>
          <w:bCs w:val="0"/>
          <w:i w:val="0"/>
          <w:iCs w:val="0"/>
          <w:smallCaps w:val="0"/>
          <w:strike w:val="0"/>
          <w:color w:val="000000"/>
          <w:spacing w:val="0"/>
          <w:w w:val="100"/>
          <w:position w:val="0"/>
          <w:sz w:val="28"/>
          <w:szCs w:val="28"/>
        </w:rPr>
        <w:t>（暂行）》（教师〔2017〕13号，以下简称“认证标准”）和《</w:t>
      </w:r>
      <w:r>
        <w:rPr>
          <w:rFonts w:hint="eastAsia"/>
          <w:b w:val="0"/>
          <w:bCs w:val="0"/>
          <w:i w:val="0"/>
          <w:iCs w:val="0"/>
          <w:smallCaps w:val="0"/>
          <w:strike w:val="0"/>
          <w:color w:val="000000"/>
          <w:spacing w:val="0"/>
          <w:w w:val="100"/>
          <w:position w:val="0"/>
          <w:sz w:val="28"/>
          <w:szCs w:val="28"/>
        </w:rPr>
        <w:t>湖南女子学院</w:t>
      </w:r>
      <w:r>
        <w:rPr>
          <w:rFonts w:hint="eastAsia"/>
          <w:b w:val="0"/>
          <w:bCs w:val="0"/>
          <w:i w:val="0"/>
          <w:iCs w:val="0"/>
          <w:smallCaps w:val="0"/>
          <w:strike w:val="0"/>
          <w:color w:val="000000"/>
          <w:spacing w:val="0"/>
          <w:w w:val="100"/>
          <w:position w:val="0"/>
          <w:sz w:val="28"/>
          <w:szCs w:val="28"/>
          <w:lang w:eastAsia="zh-CN"/>
        </w:rPr>
        <w:t>专业认证工作实施方案</w:t>
      </w:r>
      <w:r>
        <w:rPr>
          <w:b w:val="0"/>
          <w:bCs w:val="0"/>
          <w:i w:val="0"/>
          <w:iCs w:val="0"/>
          <w:smallCaps w:val="0"/>
          <w:strike w:val="0"/>
          <w:color w:val="000000"/>
          <w:spacing w:val="0"/>
          <w:w w:val="100"/>
          <w:position w:val="0"/>
          <w:sz w:val="28"/>
          <w:szCs w:val="28"/>
        </w:rPr>
        <w:t>》（</w:t>
      </w:r>
      <w:r>
        <w:rPr>
          <w:rFonts w:hint="eastAsia"/>
          <w:b w:val="0"/>
          <w:bCs w:val="0"/>
          <w:i w:val="0"/>
          <w:iCs w:val="0"/>
          <w:smallCaps w:val="0"/>
          <w:strike w:val="0"/>
          <w:color w:val="000000"/>
          <w:spacing w:val="0"/>
          <w:w w:val="100"/>
          <w:position w:val="0"/>
          <w:sz w:val="28"/>
          <w:szCs w:val="28"/>
          <w:lang w:eastAsia="zh-CN"/>
        </w:rPr>
        <w:t>湘女院行字</w:t>
      </w:r>
      <w:r>
        <w:rPr>
          <w:b w:val="0"/>
          <w:bCs w:val="0"/>
          <w:i w:val="0"/>
          <w:iCs w:val="0"/>
          <w:smallCaps w:val="0"/>
          <w:strike w:val="0"/>
          <w:color w:val="000000"/>
          <w:spacing w:val="0"/>
          <w:w w:val="100"/>
          <w:position w:val="0"/>
          <w:sz w:val="28"/>
          <w:szCs w:val="28"/>
        </w:rPr>
        <w:t>〔20</w:t>
      </w:r>
      <w:r>
        <w:rPr>
          <w:rFonts w:hint="eastAsia"/>
          <w:b w:val="0"/>
          <w:bCs w:val="0"/>
          <w:i w:val="0"/>
          <w:iCs w:val="0"/>
          <w:smallCaps w:val="0"/>
          <w:strike w:val="0"/>
          <w:color w:val="000000"/>
          <w:spacing w:val="0"/>
          <w:w w:val="100"/>
          <w:position w:val="0"/>
          <w:sz w:val="28"/>
          <w:szCs w:val="28"/>
          <w:lang w:val="en-US" w:eastAsia="zh-CN"/>
        </w:rPr>
        <w:t>21</w:t>
      </w:r>
      <w:r>
        <w:rPr>
          <w:b w:val="0"/>
          <w:bCs w:val="0"/>
          <w:i w:val="0"/>
          <w:iCs w:val="0"/>
          <w:smallCaps w:val="0"/>
          <w:strike w:val="0"/>
          <w:color w:val="000000"/>
          <w:spacing w:val="0"/>
          <w:w w:val="100"/>
          <w:position w:val="0"/>
          <w:sz w:val="28"/>
          <w:szCs w:val="28"/>
        </w:rPr>
        <w:t>〕6</w:t>
      </w:r>
      <w:r>
        <w:rPr>
          <w:rFonts w:hint="eastAsia"/>
          <w:b w:val="0"/>
          <w:bCs w:val="0"/>
          <w:i w:val="0"/>
          <w:iCs w:val="0"/>
          <w:smallCaps w:val="0"/>
          <w:strike w:val="0"/>
          <w:color w:val="000000"/>
          <w:spacing w:val="0"/>
          <w:w w:val="100"/>
          <w:position w:val="0"/>
          <w:sz w:val="28"/>
          <w:szCs w:val="28"/>
          <w:lang w:val="en-US" w:eastAsia="zh-CN"/>
        </w:rPr>
        <w:t>5</w:t>
      </w:r>
      <w:r>
        <w:rPr>
          <w:b w:val="0"/>
          <w:bCs w:val="0"/>
          <w:i w:val="0"/>
          <w:iCs w:val="0"/>
          <w:smallCaps w:val="0"/>
          <w:strike w:val="0"/>
          <w:color w:val="000000"/>
          <w:spacing w:val="0"/>
          <w:w w:val="100"/>
          <w:position w:val="0"/>
          <w:sz w:val="28"/>
          <w:szCs w:val="28"/>
        </w:rPr>
        <w:t xml:space="preserve"> 号）等文件精神</w:t>
      </w:r>
      <w:r>
        <w:rPr>
          <w:color w:val="000000"/>
          <w:spacing w:val="0"/>
          <w:w w:val="100"/>
          <w:position w:val="0"/>
          <w:sz w:val="28"/>
          <w:szCs w:val="28"/>
        </w:rPr>
        <w:t>，结合学校实际，特制定本办法。</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sz w:val="28"/>
          <w:szCs w:val="28"/>
        </w:rPr>
      </w:pPr>
      <w:r>
        <w:rPr>
          <w:b/>
          <w:bCs/>
          <w:color w:val="000000"/>
          <w:spacing w:val="0"/>
          <w:w w:val="100"/>
          <w:position w:val="0"/>
          <w:sz w:val="28"/>
          <w:szCs w:val="28"/>
        </w:rPr>
        <w:t>第二条</w:t>
      </w:r>
      <w:r>
        <w:rPr>
          <w:rFonts w:hint="eastAsia"/>
          <w:b/>
          <w:bCs/>
          <w:color w:val="000000"/>
          <w:spacing w:val="0"/>
          <w:w w:val="100"/>
          <w:position w:val="0"/>
          <w:sz w:val="28"/>
          <w:szCs w:val="28"/>
          <w:lang w:val="en-US" w:eastAsia="zh-CN"/>
        </w:rPr>
        <w:t xml:space="preserve"> </w:t>
      </w:r>
      <w:r>
        <w:rPr>
          <w:color w:val="000000"/>
          <w:spacing w:val="0"/>
          <w:w w:val="100"/>
          <w:position w:val="0"/>
          <w:sz w:val="28"/>
          <w:szCs w:val="28"/>
        </w:rPr>
        <w:t>人才培养目标是专业建设的灵魂和核心，是专业人才培养的主要依据，统领人才培养全过程各环节。人才培养目标评价是从宏观层面对专业人才培养质量情况的评判，包括合理性评价与达成情况评价。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sz w:val="28"/>
          <w:szCs w:val="28"/>
        </w:rPr>
      </w:pPr>
      <w:r>
        <w:rPr>
          <w:b/>
          <w:bCs/>
          <w:color w:val="000000"/>
          <w:spacing w:val="0"/>
          <w:w w:val="100"/>
          <w:position w:val="0"/>
          <w:sz w:val="28"/>
          <w:szCs w:val="28"/>
        </w:rPr>
        <w:t>第三条</w:t>
      </w:r>
      <w:r>
        <w:rPr>
          <w:rFonts w:hint="eastAsia"/>
          <w:b/>
          <w:bCs/>
          <w:color w:val="000000"/>
          <w:spacing w:val="0"/>
          <w:w w:val="100"/>
          <w:position w:val="0"/>
          <w:sz w:val="28"/>
          <w:szCs w:val="28"/>
          <w:lang w:val="en-US" w:eastAsia="zh-CN"/>
        </w:rPr>
        <w:t xml:space="preserve"> </w:t>
      </w:r>
      <w:r>
        <w:rPr>
          <w:b w:val="0"/>
          <w:bCs w:val="0"/>
          <w:color w:val="000000"/>
          <w:spacing w:val="0"/>
          <w:w w:val="100"/>
          <w:position w:val="0"/>
          <w:sz w:val="28"/>
          <w:szCs w:val="28"/>
        </w:rPr>
        <w:t>人</w:t>
      </w:r>
      <w:r>
        <w:rPr>
          <w:color w:val="000000"/>
          <w:spacing w:val="0"/>
          <w:w w:val="100"/>
          <w:position w:val="0"/>
          <w:sz w:val="28"/>
          <w:szCs w:val="28"/>
        </w:rPr>
        <w:t>才培养目标评价遵循</w:t>
      </w:r>
      <w:r>
        <w:rPr>
          <w:color w:val="000000"/>
          <w:spacing w:val="0"/>
          <w:w w:val="100"/>
          <w:position w:val="0"/>
          <w:sz w:val="28"/>
          <w:szCs w:val="28"/>
          <w:lang w:val="zh-CN" w:eastAsia="zh-CN" w:bidi="zh-CN"/>
        </w:rPr>
        <w:t>“学生</w:t>
      </w:r>
      <w:r>
        <w:rPr>
          <w:color w:val="000000"/>
          <w:spacing w:val="0"/>
          <w:w w:val="100"/>
          <w:position w:val="0"/>
          <w:sz w:val="28"/>
          <w:szCs w:val="28"/>
        </w:rPr>
        <w:t>中心、产岀导向、持续改进</w:t>
      </w:r>
      <w:r>
        <w:rPr>
          <w:color w:val="000000"/>
          <w:spacing w:val="0"/>
          <w:w w:val="100"/>
          <w:position w:val="0"/>
          <w:sz w:val="28"/>
          <w:szCs w:val="28"/>
          <w:lang w:val="zh-CN" w:eastAsia="zh-CN" w:bidi="zh-CN"/>
        </w:rPr>
        <w:t>”理</w:t>
      </w:r>
      <w:r>
        <w:rPr>
          <w:color w:val="000000"/>
          <w:spacing w:val="0"/>
          <w:w w:val="100"/>
          <w:position w:val="0"/>
          <w:sz w:val="28"/>
          <w:szCs w:val="28"/>
        </w:rPr>
        <w:t>念。</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sz w:val="28"/>
          <w:szCs w:val="28"/>
        </w:rPr>
      </w:pPr>
      <w:r>
        <w:rPr>
          <w:b/>
          <w:bCs/>
          <w:color w:val="000000"/>
          <w:spacing w:val="0"/>
          <w:w w:val="100"/>
          <w:position w:val="0"/>
          <w:sz w:val="28"/>
          <w:szCs w:val="28"/>
        </w:rPr>
        <w:t>第四条</w:t>
      </w:r>
      <w:r>
        <w:rPr>
          <w:rFonts w:hint="eastAsia"/>
          <w:b/>
          <w:bCs/>
          <w:color w:val="000000"/>
          <w:spacing w:val="0"/>
          <w:w w:val="100"/>
          <w:position w:val="0"/>
          <w:sz w:val="28"/>
          <w:szCs w:val="28"/>
          <w:lang w:val="en-US" w:eastAsia="zh-CN"/>
        </w:rPr>
        <w:t xml:space="preserve"> </w:t>
      </w:r>
      <w:r>
        <w:rPr>
          <w:color w:val="000000"/>
          <w:spacing w:val="0"/>
          <w:w w:val="100"/>
          <w:position w:val="0"/>
          <w:sz w:val="28"/>
          <w:szCs w:val="28"/>
        </w:rPr>
        <w:t>本办法适用于我校参加师范类专业认证的本科专 业，其他专业参照执行。</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center"/>
        <w:textAlignment w:val="auto"/>
        <w:rPr>
          <w:sz w:val="28"/>
          <w:szCs w:val="28"/>
        </w:rPr>
      </w:pPr>
      <w:bookmarkStart w:id="9" w:name="bookmark14"/>
      <w:bookmarkStart w:id="10" w:name="bookmark13"/>
      <w:bookmarkStart w:id="11" w:name="bookmark12"/>
      <w:r>
        <w:rPr>
          <w:color w:val="000000"/>
          <w:spacing w:val="0"/>
          <w:w w:val="100"/>
          <w:position w:val="0"/>
          <w:sz w:val="28"/>
          <w:szCs w:val="28"/>
        </w:rPr>
        <w:t>第二章</w:t>
      </w:r>
      <w:r>
        <w:rPr>
          <w:rFonts w:hint="eastAsia"/>
          <w:color w:val="000000"/>
          <w:spacing w:val="0"/>
          <w:w w:val="100"/>
          <w:position w:val="0"/>
          <w:sz w:val="28"/>
          <w:szCs w:val="28"/>
          <w:lang w:val="en-US" w:eastAsia="zh-CN"/>
        </w:rPr>
        <w:t xml:space="preserve">  </w:t>
      </w:r>
      <w:r>
        <w:rPr>
          <w:color w:val="000000"/>
          <w:spacing w:val="0"/>
          <w:w w:val="100"/>
          <w:position w:val="0"/>
          <w:sz w:val="28"/>
          <w:szCs w:val="28"/>
        </w:rPr>
        <w:t>责任机构与责任人</w:t>
      </w:r>
      <w:bookmarkEnd w:id="9"/>
      <w:bookmarkEnd w:id="10"/>
      <w:bookmarkEnd w:id="11"/>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sz w:val="28"/>
          <w:szCs w:val="28"/>
        </w:rPr>
      </w:pPr>
      <w:r>
        <w:rPr>
          <w:b/>
          <w:bCs/>
          <w:color w:val="000000"/>
          <w:spacing w:val="0"/>
          <w:w w:val="100"/>
          <w:position w:val="0"/>
          <w:sz w:val="28"/>
          <w:szCs w:val="28"/>
        </w:rPr>
        <w:t>第五条</w:t>
      </w:r>
      <w:r>
        <w:rPr>
          <w:rFonts w:hint="eastAsia"/>
          <w:b/>
          <w:bCs/>
          <w:color w:val="000000"/>
          <w:spacing w:val="0"/>
          <w:w w:val="100"/>
          <w:position w:val="0"/>
          <w:sz w:val="28"/>
          <w:szCs w:val="28"/>
          <w:lang w:val="en-US" w:eastAsia="zh-CN"/>
        </w:rPr>
        <w:t xml:space="preserve"> </w:t>
      </w:r>
      <w:r>
        <w:rPr>
          <w:b w:val="0"/>
          <w:bCs w:val="0"/>
          <w:color w:val="000000"/>
          <w:spacing w:val="0"/>
          <w:w w:val="100"/>
          <w:position w:val="0"/>
          <w:sz w:val="28"/>
          <w:szCs w:val="28"/>
        </w:rPr>
        <w:t>学</w:t>
      </w:r>
      <w:r>
        <w:rPr>
          <w:color w:val="000000"/>
          <w:spacing w:val="0"/>
          <w:w w:val="100"/>
          <w:position w:val="0"/>
          <w:sz w:val="28"/>
          <w:szCs w:val="28"/>
        </w:rPr>
        <w:t>院是人才培养目标评价组织与实施的责任主体。学院成立评价工作小组，明确专人负责评价工作。评价工作小组成员由院长、书记、分管教学工作副院长、分管学生工作副书记、系主任、专业负责人、教学委员、教学督导和专任教师等组成，其中院长为第一责任人，分管教学工作副院长为直接责任人。学院</w:t>
      </w:r>
      <w:r>
        <w:rPr>
          <w:rFonts w:hint="eastAsia"/>
          <w:color w:val="000000"/>
          <w:spacing w:val="0"/>
          <w:w w:val="100"/>
          <w:position w:val="0"/>
          <w:sz w:val="28"/>
          <w:szCs w:val="28"/>
          <w:lang w:eastAsia="zh-CN"/>
        </w:rPr>
        <w:t>教科</w:t>
      </w:r>
      <w:r>
        <w:rPr>
          <w:color w:val="000000"/>
          <w:spacing w:val="0"/>
          <w:w w:val="100"/>
          <w:position w:val="0"/>
          <w:sz w:val="28"/>
          <w:szCs w:val="28"/>
        </w:rPr>
        <w:t>办、学工办配合开展评价工作。</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sz w:val="28"/>
          <w:szCs w:val="28"/>
        </w:rPr>
      </w:pPr>
      <w:r>
        <w:rPr>
          <w:b/>
          <w:bCs/>
          <w:color w:val="000000"/>
          <w:spacing w:val="0"/>
          <w:w w:val="100"/>
          <w:position w:val="0"/>
          <w:sz w:val="28"/>
          <w:szCs w:val="28"/>
        </w:rPr>
        <w:t>第六条</w:t>
      </w:r>
      <w:r>
        <w:rPr>
          <w:rFonts w:hint="eastAsia"/>
          <w:color w:val="000000"/>
          <w:spacing w:val="0"/>
          <w:w w:val="100"/>
          <w:position w:val="0"/>
          <w:sz w:val="28"/>
          <w:szCs w:val="28"/>
          <w:lang w:val="en-US" w:eastAsia="zh-CN"/>
        </w:rPr>
        <w:t xml:space="preserve"> </w:t>
      </w:r>
      <w:r>
        <w:rPr>
          <w:color w:val="000000"/>
          <w:spacing w:val="0"/>
          <w:w w:val="100"/>
          <w:position w:val="0"/>
          <w:sz w:val="28"/>
          <w:szCs w:val="28"/>
        </w:rPr>
        <w:t>人才培养目标评价采取多方合议制度。包括但不限于：校内外管理专家、基础教育领域专家、同行专家，专业骨干教师、在籍学生，毕业后</w:t>
      </w:r>
      <w:r>
        <w:rPr>
          <w:b/>
          <w:bCs/>
          <w:color w:val="000000"/>
          <w:spacing w:val="0"/>
          <w:w w:val="100"/>
          <w:position w:val="0"/>
          <w:sz w:val="28"/>
          <w:szCs w:val="28"/>
        </w:rPr>
        <w:t>5</w:t>
      </w:r>
      <w:r>
        <w:rPr>
          <w:color w:val="000000"/>
          <w:spacing w:val="0"/>
          <w:w w:val="100"/>
          <w:position w:val="0"/>
          <w:sz w:val="28"/>
          <w:szCs w:val="28"/>
        </w:rPr>
        <w:t>年左右毕业生，教育主管部门、用人单位和实习基地管理人员及指导教师，学生家长等利益相关方。专业根据人才培养目标合理性评价、达成情况评价的内容和要求，选择适合对象参与评议。</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center"/>
        <w:textAlignment w:val="auto"/>
        <w:rPr>
          <w:sz w:val="28"/>
          <w:szCs w:val="28"/>
        </w:rPr>
      </w:pPr>
      <w:bookmarkStart w:id="12" w:name="bookmark17"/>
      <w:bookmarkStart w:id="13" w:name="bookmark16"/>
      <w:bookmarkStart w:id="14" w:name="bookmark15"/>
      <w:r>
        <w:rPr>
          <w:color w:val="000000"/>
          <w:spacing w:val="0"/>
          <w:w w:val="100"/>
          <w:position w:val="0"/>
          <w:sz w:val="28"/>
          <w:szCs w:val="28"/>
        </w:rPr>
        <w:t>第三章</w:t>
      </w:r>
      <w:r>
        <w:rPr>
          <w:rFonts w:hint="eastAsia"/>
          <w:color w:val="000000"/>
          <w:spacing w:val="0"/>
          <w:w w:val="100"/>
          <w:position w:val="0"/>
          <w:sz w:val="28"/>
          <w:szCs w:val="28"/>
          <w:lang w:val="en-US" w:eastAsia="zh-CN"/>
        </w:rPr>
        <w:t xml:space="preserve">  </w:t>
      </w:r>
      <w:r>
        <w:rPr>
          <w:color w:val="000000"/>
          <w:spacing w:val="0"/>
          <w:w w:val="100"/>
          <w:position w:val="0"/>
          <w:sz w:val="28"/>
          <w:szCs w:val="28"/>
        </w:rPr>
        <w:t>评价依据与评价周期</w:t>
      </w:r>
      <w:bookmarkEnd w:id="12"/>
      <w:bookmarkEnd w:id="13"/>
      <w:bookmarkEnd w:id="14"/>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sz w:val="28"/>
          <w:szCs w:val="28"/>
        </w:rPr>
      </w:pPr>
      <w:r>
        <w:rPr>
          <w:b/>
          <w:bCs/>
          <w:color w:val="000000"/>
          <w:spacing w:val="0"/>
          <w:w w:val="100"/>
          <w:position w:val="0"/>
          <w:sz w:val="28"/>
          <w:szCs w:val="28"/>
        </w:rPr>
        <w:t>第七条</w:t>
      </w:r>
      <w:r>
        <w:rPr>
          <w:rFonts w:hint="eastAsia"/>
          <w:b/>
          <w:bCs/>
          <w:color w:val="000000"/>
          <w:spacing w:val="0"/>
          <w:w w:val="100"/>
          <w:position w:val="0"/>
          <w:sz w:val="28"/>
          <w:szCs w:val="28"/>
          <w:lang w:val="en-US" w:eastAsia="zh-CN"/>
        </w:rPr>
        <w:t xml:space="preserve"> </w:t>
      </w:r>
      <w:r>
        <w:rPr>
          <w:b w:val="0"/>
          <w:bCs w:val="0"/>
          <w:color w:val="000000"/>
          <w:spacing w:val="0"/>
          <w:w w:val="100"/>
          <w:position w:val="0"/>
          <w:sz w:val="28"/>
          <w:szCs w:val="28"/>
        </w:rPr>
        <w:t>合理</w:t>
      </w:r>
      <w:r>
        <w:rPr>
          <w:color w:val="000000"/>
          <w:spacing w:val="0"/>
          <w:w w:val="100"/>
          <w:position w:val="0"/>
          <w:sz w:val="28"/>
          <w:szCs w:val="28"/>
        </w:rPr>
        <w:t>性评价依据。党的教育方针，国家教师教</w:t>
      </w:r>
      <w:bookmarkStart w:id="43" w:name="_GoBack"/>
      <w:bookmarkEnd w:id="43"/>
      <w:r>
        <w:rPr>
          <w:color w:val="000000"/>
          <w:spacing w:val="0"/>
          <w:w w:val="100"/>
          <w:position w:val="0"/>
          <w:sz w:val="28"/>
          <w:szCs w:val="28"/>
        </w:rPr>
        <w:t>育相关政策，国家、地区基础教育改革发展和教师队伍建设重大战 略需求，《国标》，</w:t>
      </w:r>
      <w:r>
        <w:rPr>
          <w:color w:val="000000"/>
          <w:spacing w:val="0"/>
          <w:w w:val="100"/>
          <w:position w:val="0"/>
          <w:sz w:val="28"/>
          <w:szCs w:val="28"/>
          <w:lang w:val="zh-CN" w:eastAsia="zh-CN" w:bidi="zh-CN"/>
        </w:rPr>
        <w:t>“认</w:t>
      </w:r>
      <w:r>
        <w:rPr>
          <w:color w:val="000000"/>
          <w:spacing w:val="0"/>
          <w:w w:val="100"/>
          <w:position w:val="0"/>
          <w:sz w:val="28"/>
          <w:szCs w:val="28"/>
        </w:rPr>
        <w:t>证标准”，学校办学与人才培养目标定位，用人单位对人才发展潜力、专业技能、综合素质的需求，毕业生主流职业发展需求等。</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000000"/>
          <w:spacing w:val="0"/>
          <w:w w:val="100"/>
          <w:position w:val="0"/>
          <w:sz w:val="28"/>
          <w:szCs w:val="28"/>
        </w:rPr>
      </w:pPr>
      <w:r>
        <w:rPr>
          <w:b/>
          <w:bCs/>
          <w:color w:val="000000"/>
          <w:spacing w:val="0"/>
          <w:w w:val="100"/>
          <w:position w:val="0"/>
          <w:sz w:val="28"/>
          <w:szCs w:val="28"/>
        </w:rPr>
        <w:t>第八条</w:t>
      </w:r>
      <w:r>
        <w:rPr>
          <w:rFonts w:hint="eastAsia"/>
          <w:b/>
          <w:bCs/>
          <w:color w:val="000000"/>
          <w:spacing w:val="0"/>
          <w:w w:val="100"/>
          <w:position w:val="0"/>
          <w:sz w:val="28"/>
          <w:szCs w:val="28"/>
          <w:lang w:val="en-US" w:eastAsia="zh-CN"/>
        </w:rPr>
        <w:t xml:space="preserve"> </w:t>
      </w:r>
      <w:r>
        <w:rPr>
          <w:color w:val="000000"/>
          <w:spacing w:val="0"/>
          <w:w w:val="100"/>
          <w:position w:val="0"/>
          <w:sz w:val="28"/>
          <w:szCs w:val="28"/>
        </w:rPr>
        <w:t>达成情况评价依据。学生毕业后</w:t>
      </w:r>
      <w:r>
        <w:rPr>
          <w:b/>
          <w:bCs/>
          <w:color w:val="000000"/>
          <w:spacing w:val="0"/>
          <w:w w:val="100"/>
          <w:position w:val="0"/>
          <w:sz w:val="28"/>
          <w:szCs w:val="28"/>
        </w:rPr>
        <w:t>5</w:t>
      </w:r>
      <w:r>
        <w:rPr>
          <w:color w:val="000000"/>
          <w:spacing w:val="0"/>
          <w:w w:val="100"/>
          <w:position w:val="0"/>
          <w:sz w:val="28"/>
          <w:szCs w:val="28"/>
        </w:rPr>
        <w:t>年左右的职业发展状况。</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z w:val="28"/>
          <w:szCs w:val="28"/>
        </w:rPr>
      </w:pPr>
      <w:r>
        <w:rPr>
          <w:b/>
          <w:bCs/>
          <w:color w:val="auto"/>
          <w:spacing w:val="0"/>
          <w:w w:val="100"/>
          <w:position w:val="0"/>
          <w:sz w:val="28"/>
          <w:szCs w:val="28"/>
        </w:rPr>
        <w:t>第九条</w:t>
      </w:r>
      <w:r>
        <w:rPr>
          <w:rFonts w:hint="eastAsia"/>
          <w:b/>
          <w:bCs/>
          <w:color w:val="auto"/>
          <w:spacing w:val="0"/>
          <w:w w:val="100"/>
          <w:position w:val="0"/>
          <w:sz w:val="28"/>
          <w:szCs w:val="28"/>
          <w:lang w:val="en-US" w:eastAsia="zh-CN"/>
        </w:rPr>
        <w:t xml:space="preserve"> </w:t>
      </w:r>
      <w:r>
        <w:rPr>
          <w:color w:val="auto"/>
          <w:spacing w:val="0"/>
          <w:w w:val="100"/>
          <w:position w:val="0"/>
          <w:sz w:val="28"/>
          <w:szCs w:val="28"/>
        </w:rPr>
        <w:t>评价周期。人才培养目标合理性和达成情况每两年评价一次。</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center"/>
        <w:textAlignment w:val="auto"/>
        <w:rPr>
          <w:color w:val="auto"/>
          <w:sz w:val="28"/>
          <w:szCs w:val="28"/>
        </w:rPr>
      </w:pPr>
      <w:bookmarkStart w:id="15" w:name="bookmark20"/>
      <w:bookmarkStart w:id="16" w:name="bookmark19"/>
      <w:bookmarkStart w:id="17" w:name="bookmark18"/>
      <w:r>
        <w:rPr>
          <w:color w:val="auto"/>
          <w:spacing w:val="0"/>
          <w:w w:val="100"/>
          <w:position w:val="0"/>
          <w:sz w:val="28"/>
          <w:szCs w:val="28"/>
        </w:rPr>
        <w:t>第四章</w:t>
      </w:r>
      <w:r>
        <w:rPr>
          <w:rFonts w:hint="eastAsia"/>
          <w:color w:val="auto"/>
          <w:spacing w:val="0"/>
          <w:w w:val="100"/>
          <w:position w:val="0"/>
          <w:sz w:val="28"/>
          <w:szCs w:val="28"/>
          <w:lang w:val="en-US" w:eastAsia="zh-CN"/>
        </w:rPr>
        <w:t xml:space="preserve">  </w:t>
      </w:r>
      <w:r>
        <w:rPr>
          <w:color w:val="auto"/>
          <w:spacing w:val="0"/>
          <w:w w:val="100"/>
          <w:position w:val="0"/>
          <w:sz w:val="28"/>
          <w:szCs w:val="28"/>
        </w:rPr>
        <w:t>评价方法与评价步骤</w:t>
      </w:r>
      <w:bookmarkEnd w:id="15"/>
      <w:bookmarkEnd w:id="16"/>
      <w:bookmarkEnd w:id="17"/>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sz w:val="28"/>
          <w:szCs w:val="28"/>
        </w:rPr>
      </w:pPr>
      <w:r>
        <w:rPr>
          <w:b/>
          <w:bCs/>
          <w:color w:val="auto"/>
          <w:spacing w:val="0"/>
          <w:w w:val="100"/>
          <w:position w:val="0"/>
          <w:sz w:val="28"/>
          <w:szCs w:val="28"/>
        </w:rPr>
        <w:t>第十条</w:t>
      </w:r>
      <w:r>
        <w:rPr>
          <w:rFonts w:hint="eastAsia"/>
          <w:b/>
          <w:bCs/>
          <w:color w:val="auto"/>
          <w:spacing w:val="0"/>
          <w:w w:val="100"/>
          <w:position w:val="0"/>
          <w:sz w:val="28"/>
          <w:szCs w:val="28"/>
          <w:lang w:val="en-US" w:eastAsia="zh-CN"/>
        </w:rPr>
        <w:t xml:space="preserve"> </w:t>
      </w:r>
      <w:r>
        <w:rPr>
          <w:b w:val="0"/>
          <w:bCs w:val="0"/>
          <w:color w:val="auto"/>
          <w:spacing w:val="0"/>
          <w:w w:val="100"/>
          <w:position w:val="0"/>
          <w:sz w:val="28"/>
          <w:szCs w:val="28"/>
        </w:rPr>
        <w:t>评价</w:t>
      </w:r>
      <w:r>
        <w:rPr>
          <w:color w:val="auto"/>
          <w:spacing w:val="0"/>
          <w:w w:val="100"/>
          <w:position w:val="0"/>
          <w:sz w:val="28"/>
          <w:szCs w:val="28"/>
        </w:rPr>
        <w:t>方法。人才培养目标评价坚持内部与外部评价相结合，</w:t>
      </w:r>
      <w:r>
        <w:rPr>
          <w:color w:val="000000"/>
          <w:spacing w:val="0"/>
          <w:w w:val="100"/>
          <w:position w:val="0"/>
          <w:sz w:val="28"/>
          <w:szCs w:val="28"/>
        </w:rPr>
        <w:t>综合应用直接和间接评价、定性与定量评价等多样化的评价方式及策略。常用的评价方法包括个别访谈法、集体访谈法、问卷调查法和专家评议法等。评价前需对评价方法进行选择和优化，合理性评价和达成情况评价分别至少选择两种评价方法同时进行评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auto"/>
          <w:sz w:val="28"/>
          <w:szCs w:val="28"/>
        </w:rPr>
      </w:pPr>
      <w:r>
        <w:rPr>
          <w:rFonts w:hint="eastAsia"/>
          <w:b/>
          <w:bCs/>
          <w:color w:val="auto"/>
          <w:spacing w:val="0"/>
          <w:w w:val="100"/>
          <w:position w:val="0"/>
          <w:sz w:val="28"/>
          <w:szCs w:val="28"/>
          <w:lang w:val="en-US" w:eastAsia="zh-CN" w:bidi="en-US"/>
        </w:rPr>
        <w:t>（一）</w:t>
      </w:r>
      <w:r>
        <w:rPr>
          <w:b/>
          <w:bCs/>
          <w:color w:val="auto"/>
          <w:spacing w:val="0"/>
          <w:w w:val="100"/>
          <w:position w:val="0"/>
          <w:sz w:val="28"/>
          <w:szCs w:val="28"/>
        </w:rPr>
        <w:t>访谈法</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sz w:val="28"/>
          <w:szCs w:val="28"/>
        </w:rPr>
      </w:pPr>
      <w:r>
        <w:rPr>
          <w:color w:val="auto"/>
          <w:spacing w:val="0"/>
          <w:w w:val="100"/>
          <w:position w:val="0"/>
          <w:sz w:val="28"/>
          <w:szCs w:val="28"/>
        </w:rPr>
        <w:t>个别访谈法是指通过面对面口头交谈或通过电话、</w:t>
      </w:r>
      <w:r>
        <w:rPr>
          <w:b/>
          <w:bCs/>
          <w:color w:val="auto"/>
          <w:spacing w:val="0"/>
          <w:w w:val="100"/>
          <w:position w:val="0"/>
          <w:sz w:val="28"/>
          <w:szCs w:val="28"/>
          <w:lang w:val="en-US" w:eastAsia="en-US" w:bidi="en-US"/>
        </w:rPr>
        <w:t>QQ</w:t>
      </w:r>
      <w:r>
        <w:rPr>
          <w:color w:val="auto"/>
          <w:spacing w:val="0"/>
          <w:w w:val="100"/>
          <w:position w:val="0"/>
          <w:sz w:val="28"/>
          <w:szCs w:val="28"/>
          <w:lang w:val="en-US" w:eastAsia="en-US" w:bidi="en-US"/>
        </w:rPr>
        <w:t>、</w:t>
      </w:r>
      <w:r>
        <w:rPr>
          <w:color w:val="auto"/>
          <w:spacing w:val="0"/>
          <w:w w:val="100"/>
          <w:position w:val="0"/>
          <w:sz w:val="28"/>
          <w:szCs w:val="28"/>
        </w:rPr>
        <w:t>微信等方式以语音或视频交谈等方式直接向访谈对象了解人才培养目标合理性</w:t>
      </w:r>
      <w:r>
        <w:rPr>
          <w:color w:val="000000"/>
          <w:spacing w:val="0"/>
          <w:w w:val="100"/>
          <w:position w:val="0"/>
          <w:sz w:val="28"/>
          <w:szCs w:val="28"/>
        </w:rPr>
        <w:t>或达成情况的评价方法。集体访谈法是指通过面对面集体座谈或者通过腾讯会议、</w:t>
      </w:r>
      <w:r>
        <w:rPr>
          <w:b/>
          <w:bCs/>
          <w:color w:val="000000"/>
          <w:spacing w:val="0"/>
          <w:w w:val="100"/>
          <w:position w:val="0"/>
          <w:sz w:val="28"/>
          <w:szCs w:val="28"/>
          <w:lang w:val="en-US" w:eastAsia="en-US" w:bidi="en-US"/>
        </w:rPr>
        <w:t>ZOOM</w:t>
      </w:r>
      <w:r>
        <w:rPr>
          <w:color w:val="000000"/>
          <w:spacing w:val="0"/>
          <w:w w:val="100"/>
          <w:position w:val="0"/>
          <w:sz w:val="28"/>
          <w:szCs w:val="28"/>
          <w:lang w:val="en-US" w:eastAsia="en-US" w:bidi="en-US"/>
        </w:rPr>
        <w:t>、</w:t>
      </w:r>
      <w:r>
        <w:rPr>
          <w:color w:val="000000"/>
          <w:spacing w:val="0"/>
          <w:w w:val="100"/>
          <w:position w:val="0"/>
          <w:sz w:val="28"/>
          <w:szCs w:val="28"/>
        </w:rPr>
        <w:t>钉钉等网络会议等方式直接向访谈对象了解人才培养目标合理性和达成情况的评价方法。</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sz w:val="28"/>
          <w:szCs w:val="28"/>
        </w:rPr>
      </w:pPr>
      <w:r>
        <w:rPr>
          <w:color w:val="000000"/>
          <w:spacing w:val="0"/>
          <w:w w:val="100"/>
          <w:position w:val="0"/>
          <w:sz w:val="28"/>
          <w:szCs w:val="28"/>
        </w:rPr>
        <w:t>具体操作步骤：</w:t>
      </w:r>
    </w:p>
    <w:p>
      <w:pPr>
        <w:pStyle w:val="9"/>
        <w:keepNext w:val="0"/>
        <w:keepLines w:val="0"/>
        <w:pageBreakBefore w:val="0"/>
        <w:widowControl w:val="0"/>
        <w:numPr>
          <w:ilvl w:val="0"/>
          <w:numId w:val="1"/>
        </w:numPr>
        <w:shd w:val="clear" w:color="auto" w:fill="auto"/>
        <w:tabs>
          <w:tab w:val="left" w:pos="996"/>
        </w:tabs>
        <w:kinsoku/>
        <w:wordWrap/>
        <w:overflowPunct/>
        <w:topLinePunct w:val="0"/>
        <w:autoSpaceDE/>
        <w:autoSpaceDN/>
        <w:bidi w:val="0"/>
        <w:adjustRightInd/>
        <w:snapToGrid/>
        <w:spacing w:before="0" w:after="0" w:line="480" w:lineRule="exact"/>
        <w:ind w:left="0" w:right="0" w:firstLine="560" w:firstLineChars="200"/>
        <w:jc w:val="both"/>
        <w:textAlignment w:val="auto"/>
        <w:rPr>
          <w:sz w:val="28"/>
          <w:szCs w:val="28"/>
        </w:rPr>
      </w:pPr>
      <w:bookmarkStart w:id="18" w:name="bookmark21"/>
      <w:bookmarkEnd w:id="18"/>
      <w:r>
        <w:rPr>
          <w:color w:val="000000"/>
          <w:spacing w:val="0"/>
          <w:w w:val="100"/>
          <w:position w:val="0"/>
          <w:sz w:val="28"/>
          <w:szCs w:val="28"/>
        </w:rPr>
        <w:t>依据评价依据设计访谈议题。访谈议题一般由专业负责 人设计，教学副院长审核。访谈议题要紧紧围绕专业设置的人才培养目标是否与评价依据相吻合而设计，突出重点，聚焦问题。议题要覆盖评价依据所有内容，要有区分度，内容不重复、不交叉。</w:t>
      </w:r>
    </w:p>
    <w:p>
      <w:pPr>
        <w:pStyle w:val="9"/>
        <w:keepNext w:val="0"/>
        <w:keepLines w:val="0"/>
        <w:pageBreakBefore w:val="0"/>
        <w:widowControl w:val="0"/>
        <w:numPr>
          <w:ilvl w:val="0"/>
          <w:numId w:val="1"/>
        </w:numPr>
        <w:shd w:val="clear" w:color="auto" w:fill="auto"/>
        <w:tabs>
          <w:tab w:val="left" w:pos="383"/>
        </w:tabs>
        <w:kinsoku/>
        <w:wordWrap/>
        <w:overflowPunct/>
        <w:topLinePunct w:val="0"/>
        <w:autoSpaceDE/>
        <w:autoSpaceDN/>
        <w:bidi w:val="0"/>
        <w:adjustRightInd/>
        <w:snapToGrid/>
        <w:spacing w:before="0" w:after="0" w:line="480" w:lineRule="exact"/>
        <w:ind w:left="0" w:right="0" w:firstLine="560" w:firstLineChars="200"/>
        <w:jc w:val="both"/>
        <w:textAlignment w:val="auto"/>
        <w:rPr>
          <w:sz w:val="28"/>
          <w:szCs w:val="28"/>
        </w:rPr>
      </w:pPr>
      <w:bookmarkStart w:id="19" w:name="bookmark22"/>
      <w:bookmarkEnd w:id="19"/>
      <w:r>
        <w:rPr>
          <w:color w:val="000000"/>
          <w:spacing w:val="0"/>
          <w:w w:val="100"/>
          <w:position w:val="0"/>
          <w:sz w:val="28"/>
          <w:szCs w:val="28"/>
        </w:rPr>
        <w:t>根据访谈议题选择有代表性的访谈对象。访谈议题要与访谈对象所从事的专业或工作领域或其切身利益密切相关。访谈毕业生还要考虑其工作年限的长短。访谈前，工作人员要主动与访谈对象联系沟通，明确好访谈内容、方式、时间和地点等；要提前将人才培养目标合理性和达成情况评价的有关资料发放给 访谈对象，让访谈对象做好做足接受访谈的准备工作。个别访谈一般每个议题至少选择</w:t>
      </w:r>
      <w:r>
        <w:rPr>
          <w:b/>
          <w:bCs/>
          <w:color w:val="000000"/>
          <w:spacing w:val="0"/>
          <w:w w:val="100"/>
          <w:position w:val="0"/>
          <w:sz w:val="28"/>
          <w:szCs w:val="28"/>
        </w:rPr>
        <w:t>5</w:t>
      </w:r>
      <w:r>
        <w:rPr>
          <w:color w:val="000000"/>
          <w:spacing w:val="0"/>
          <w:w w:val="100"/>
          <w:position w:val="0"/>
          <w:sz w:val="28"/>
          <w:szCs w:val="28"/>
        </w:rPr>
        <w:t>个以上、有代表性的访谈对象。集体访谈一般</w:t>
      </w:r>
      <w:r>
        <w:rPr>
          <w:b/>
          <w:bCs/>
          <w:color w:val="000000"/>
          <w:spacing w:val="0"/>
          <w:w w:val="100"/>
          <w:position w:val="0"/>
          <w:sz w:val="28"/>
          <w:szCs w:val="28"/>
        </w:rPr>
        <w:t>10</w:t>
      </w:r>
      <w:r>
        <w:rPr>
          <w:color w:val="000000"/>
          <w:spacing w:val="0"/>
          <w:w w:val="100"/>
          <w:position w:val="0"/>
          <w:sz w:val="28"/>
          <w:szCs w:val="28"/>
        </w:rPr>
        <w:t>人左右规模；可以开展多次集体访谈，以便掌握全面信息。</w:t>
      </w:r>
    </w:p>
    <w:p>
      <w:pPr>
        <w:pStyle w:val="9"/>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color w:val="000000"/>
          <w:spacing w:val="0"/>
          <w:w w:val="100"/>
          <w:position w:val="0"/>
          <w:sz w:val="28"/>
          <w:szCs w:val="28"/>
        </w:rPr>
      </w:pPr>
      <w:bookmarkStart w:id="20" w:name="bookmark23"/>
      <w:bookmarkEnd w:id="20"/>
      <w:r>
        <w:rPr>
          <w:color w:val="000000"/>
          <w:spacing w:val="0"/>
          <w:w w:val="100"/>
          <w:position w:val="0"/>
          <w:sz w:val="28"/>
          <w:szCs w:val="28"/>
        </w:rPr>
        <w:t>实施访谈。工作人员应掌握一定的访谈技巧。访谈氛围 要轻松，双方交流要平等。要以倾听为主，把大部分时间留给访谈对象，以获得足够的信息量。要根据访谈过程中获得的相关信息和初步结论，及时调整访谈角度和内容，既能获取完整信息，又能把问题谈准、谈透。</w:t>
      </w:r>
    </w:p>
    <w:p>
      <w:pPr>
        <w:pStyle w:val="9"/>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sz w:val="28"/>
          <w:szCs w:val="28"/>
        </w:rPr>
      </w:pPr>
      <w:r>
        <w:rPr>
          <w:color w:val="000000"/>
          <w:spacing w:val="0"/>
          <w:w w:val="100"/>
          <w:position w:val="0"/>
          <w:sz w:val="28"/>
          <w:szCs w:val="28"/>
        </w:rPr>
        <w:t>整理、归纳和分析。工作人员要及时对访谈记录进行整理、归纳和汇总，做好信息过滤，剔除明显不合理或关联度不高的内容。评价工作组以集体评议的方式对汇总信息进行纵横比对和综合分析，形成有效衔接、相互支撑的信息链条，得出整体性的判断和明确结论，提出改进意见和建议。</w:t>
      </w:r>
    </w:p>
    <w:p>
      <w:pPr>
        <w:pStyle w:val="9"/>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sz w:val="28"/>
          <w:szCs w:val="28"/>
        </w:rPr>
      </w:pPr>
      <w:r>
        <w:rPr>
          <w:color w:val="000000"/>
          <w:spacing w:val="0"/>
          <w:w w:val="100"/>
          <w:position w:val="0"/>
          <w:sz w:val="28"/>
          <w:szCs w:val="28"/>
        </w:rPr>
        <w:t>撰写访谈调查分析报告。调查分析报告应紧扣评价主题, 简单明了。同时，整理好访谈记录、集体评议记录等材料并归档保存。</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700"/>
        <w:jc w:val="both"/>
        <w:textAlignment w:val="auto"/>
        <w:rPr>
          <w:sz w:val="28"/>
          <w:szCs w:val="28"/>
        </w:rPr>
      </w:pPr>
      <w:r>
        <w:rPr>
          <w:b/>
          <w:bCs/>
          <w:color w:val="000000"/>
          <w:spacing w:val="0"/>
          <w:w w:val="100"/>
          <w:position w:val="0"/>
          <w:sz w:val="28"/>
          <w:szCs w:val="28"/>
        </w:rPr>
        <w:t>（二）问卷调查法</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sz w:val="28"/>
          <w:szCs w:val="28"/>
        </w:rPr>
        <w:sectPr>
          <w:headerReference r:id="rId5" w:type="first"/>
          <w:footerReference r:id="rId7" w:type="first"/>
          <w:footerReference r:id="rId6" w:type="default"/>
          <w:footnotePr>
            <w:numFmt w:val="decimal"/>
          </w:footnotePr>
          <w:pgSz w:w="11900" w:h="16840"/>
          <w:pgMar w:top="1402" w:right="1702" w:bottom="1236" w:left="1606" w:header="0" w:footer="3" w:gutter="0"/>
          <w:pgNumType w:fmt="decimal" w:start="1"/>
          <w:cols w:space="720" w:num="1"/>
          <w:rtlGutter w:val="0"/>
          <w:docGrid w:linePitch="360" w:charSpace="0"/>
        </w:sectPr>
      </w:pPr>
      <w:r>
        <w:rPr>
          <w:color w:val="000000"/>
          <w:spacing w:val="0"/>
          <w:w w:val="100"/>
          <w:position w:val="0"/>
          <w:sz w:val="28"/>
          <w:szCs w:val="28"/>
        </w:rPr>
        <w:t>问卷调查法是指运用统一设计的问卷向被调查对象了解人才培养目标合理性和达成情况的评价方法。具体操作步骤：</w:t>
      </w:r>
    </w:p>
    <w:p>
      <w:pPr>
        <w:pStyle w:val="9"/>
        <w:keepNext w:val="0"/>
        <w:keepLines w:val="0"/>
        <w:pageBreakBefore w:val="0"/>
        <w:widowControl w:val="0"/>
        <w:numPr>
          <w:ilvl w:val="0"/>
          <w:numId w:val="2"/>
        </w:numPr>
        <w:shd w:val="clear" w:color="auto" w:fill="auto"/>
        <w:tabs>
          <w:tab w:val="left" w:pos="992"/>
        </w:tabs>
        <w:kinsoku/>
        <w:wordWrap/>
        <w:overflowPunct/>
        <w:topLinePunct w:val="0"/>
        <w:autoSpaceDE/>
        <w:autoSpaceDN/>
        <w:bidi w:val="0"/>
        <w:adjustRightInd/>
        <w:snapToGrid/>
        <w:spacing w:before="0" w:after="0" w:line="480" w:lineRule="exact"/>
        <w:ind w:left="0" w:right="0" w:firstLine="560" w:firstLineChars="200"/>
        <w:jc w:val="both"/>
        <w:textAlignment w:val="auto"/>
        <w:rPr>
          <w:sz w:val="28"/>
          <w:szCs w:val="28"/>
        </w:rPr>
      </w:pPr>
      <w:bookmarkStart w:id="21" w:name="bookmark24"/>
      <w:bookmarkEnd w:id="21"/>
      <w:r>
        <w:rPr>
          <w:color w:val="000000"/>
          <w:spacing w:val="0"/>
          <w:w w:val="100"/>
          <w:position w:val="0"/>
          <w:sz w:val="28"/>
          <w:szCs w:val="28"/>
        </w:rPr>
        <w:t>根据评价依据设计访谈调查问卷。调查问卷一般由专业 负责人设计，教学副院长审核。问题设计是做好问卷调查的关键，要紧紧围绕人才培养目标是否与评价依据相吻合而设计，突出重点。问题要覆盖评价依据所有内容，内容不重复、不交叉。调查问卷要根据不同调查对象分别设计，问卷问题要与调查对象所从事的专业或工作领域或其切身利益密切相关。问卷设计可以是定量、定性或其他组合方式，可以是纸质问卷，也可以利用问卷星等工具设计成电子问卷。</w:t>
      </w:r>
    </w:p>
    <w:p>
      <w:pPr>
        <w:pStyle w:val="9"/>
        <w:keepNext w:val="0"/>
        <w:keepLines w:val="0"/>
        <w:pageBreakBefore w:val="0"/>
        <w:widowControl w:val="0"/>
        <w:numPr>
          <w:ilvl w:val="0"/>
          <w:numId w:val="2"/>
        </w:numPr>
        <w:shd w:val="clear" w:color="auto" w:fill="auto"/>
        <w:tabs>
          <w:tab w:val="left" w:pos="992"/>
        </w:tabs>
        <w:kinsoku/>
        <w:wordWrap/>
        <w:overflowPunct/>
        <w:topLinePunct w:val="0"/>
        <w:autoSpaceDE/>
        <w:autoSpaceDN/>
        <w:bidi w:val="0"/>
        <w:adjustRightInd/>
        <w:snapToGrid/>
        <w:spacing w:before="0" w:after="0" w:line="480" w:lineRule="exact"/>
        <w:ind w:left="0" w:right="0" w:firstLine="560" w:firstLineChars="200"/>
        <w:jc w:val="both"/>
        <w:textAlignment w:val="auto"/>
        <w:rPr>
          <w:sz w:val="28"/>
          <w:szCs w:val="28"/>
        </w:rPr>
      </w:pPr>
      <w:bookmarkStart w:id="22" w:name="bookmark25"/>
      <w:bookmarkEnd w:id="22"/>
      <w:r>
        <w:rPr>
          <w:color w:val="000000"/>
          <w:spacing w:val="0"/>
          <w:w w:val="100"/>
          <w:position w:val="0"/>
          <w:sz w:val="28"/>
          <w:szCs w:val="28"/>
        </w:rPr>
        <w:t>根据不同调查问卷选择有代表性的调查对象。如调查的问题涉及专业人才培养目标是否符合党的教育方针和国家教师教育相关政策，国家、地区基础教育改革发展和教师队伍建设重 大战略需求，《国标》，</w:t>
      </w:r>
      <w:r>
        <w:rPr>
          <w:color w:val="000000"/>
          <w:spacing w:val="0"/>
          <w:w w:val="100"/>
          <w:position w:val="0"/>
          <w:sz w:val="28"/>
          <w:szCs w:val="28"/>
          <w:lang w:val="zh-CN" w:eastAsia="zh-CN" w:bidi="zh-CN"/>
        </w:rPr>
        <w:t>“认</w:t>
      </w:r>
      <w:r>
        <w:rPr>
          <w:color w:val="000000"/>
          <w:spacing w:val="0"/>
          <w:w w:val="100"/>
          <w:position w:val="0"/>
          <w:sz w:val="28"/>
          <w:szCs w:val="28"/>
        </w:rPr>
        <w:t>证标准”，学校办学与人才培养目标定位等，可选取校内管理专家、同行专家，校外基础教育领域专家、同行专家和教育主管部门、用人单位和实习基地管理人员及指导教师等利益相关方作为调查对象。如调查的问题涉及专业人才培养目标是否符合用人单位对人才发展潜力、专业技能、综合素质的需求，毕业生主流职业发展需求等，则可选择教育主管部 门、用人单位和实习基地管理人员及指导教师，专业毕业后</w:t>
      </w:r>
      <w:r>
        <w:rPr>
          <w:b/>
          <w:bCs/>
          <w:color w:val="000000"/>
          <w:spacing w:val="0"/>
          <w:w w:val="100"/>
          <w:position w:val="0"/>
          <w:sz w:val="28"/>
          <w:szCs w:val="28"/>
        </w:rPr>
        <w:t>5</w:t>
      </w:r>
      <w:r>
        <w:rPr>
          <w:color w:val="000000"/>
          <w:spacing w:val="0"/>
          <w:w w:val="100"/>
          <w:position w:val="0"/>
          <w:sz w:val="28"/>
          <w:szCs w:val="28"/>
        </w:rPr>
        <w:t>年 左右毕业生，学生家长等利益相关方作为调查对象。如调查的问题涉及学生毕业后</w:t>
      </w:r>
      <w:r>
        <w:rPr>
          <w:b/>
          <w:bCs/>
          <w:color w:val="000000"/>
          <w:spacing w:val="0"/>
          <w:w w:val="100"/>
          <w:position w:val="0"/>
          <w:sz w:val="28"/>
          <w:szCs w:val="28"/>
        </w:rPr>
        <w:t>5</w:t>
      </w:r>
      <w:r>
        <w:rPr>
          <w:color w:val="000000"/>
          <w:spacing w:val="0"/>
          <w:w w:val="100"/>
          <w:position w:val="0"/>
          <w:sz w:val="28"/>
          <w:szCs w:val="28"/>
        </w:rPr>
        <w:t>年左右职业发展状况是否与专业设立的人才培养目标一致等，则可选择专业骨干教师、专业毕业后</w:t>
      </w:r>
      <w:r>
        <w:rPr>
          <w:b/>
          <w:bCs/>
          <w:color w:val="000000"/>
          <w:spacing w:val="0"/>
          <w:w w:val="100"/>
          <w:position w:val="0"/>
          <w:sz w:val="28"/>
          <w:szCs w:val="28"/>
        </w:rPr>
        <w:t>5</w:t>
      </w:r>
      <w:r>
        <w:rPr>
          <w:color w:val="000000"/>
          <w:spacing w:val="0"/>
          <w:w w:val="100"/>
          <w:position w:val="0"/>
          <w:sz w:val="28"/>
          <w:szCs w:val="28"/>
        </w:rPr>
        <w:t>年左右毕业生，教育主管部门、用人单位和实习基地管理人员和指导教师，学生家长等利益相关方作为调查对象。</w:t>
      </w:r>
    </w:p>
    <w:p>
      <w:pPr>
        <w:pStyle w:val="9"/>
        <w:keepNext w:val="0"/>
        <w:keepLines w:val="0"/>
        <w:pageBreakBefore w:val="0"/>
        <w:widowControl w:val="0"/>
        <w:numPr>
          <w:ilvl w:val="0"/>
          <w:numId w:val="2"/>
        </w:numPr>
        <w:shd w:val="clear" w:color="auto" w:fill="auto"/>
        <w:tabs>
          <w:tab w:val="left" w:pos="372"/>
        </w:tabs>
        <w:kinsoku/>
        <w:wordWrap/>
        <w:overflowPunct/>
        <w:topLinePunct w:val="0"/>
        <w:autoSpaceDE/>
        <w:autoSpaceDN/>
        <w:bidi w:val="0"/>
        <w:adjustRightInd/>
        <w:snapToGrid/>
        <w:spacing w:before="0" w:after="0" w:line="480" w:lineRule="exact"/>
        <w:ind w:left="0" w:right="0" w:firstLine="560" w:firstLineChars="200"/>
        <w:jc w:val="both"/>
        <w:textAlignment w:val="auto"/>
        <w:rPr>
          <w:sz w:val="28"/>
          <w:szCs w:val="28"/>
        </w:rPr>
      </w:pPr>
      <w:bookmarkStart w:id="23" w:name="bookmark26"/>
      <w:bookmarkEnd w:id="23"/>
      <w:r>
        <w:rPr>
          <w:color w:val="000000"/>
          <w:spacing w:val="0"/>
          <w:w w:val="100"/>
          <w:position w:val="0"/>
          <w:sz w:val="28"/>
          <w:szCs w:val="28"/>
        </w:rPr>
        <w:t>调查实施。调查前，工作人员要主动与调查对象联系，让调查对象知晓调查的目的、意义和要求，并及时通过电子邮件、 微信、</w:t>
      </w:r>
      <w:r>
        <w:rPr>
          <w:b/>
          <w:bCs/>
          <w:color w:val="000000"/>
          <w:spacing w:val="0"/>
          <w:w w:val="100"/>
          <w:position w:val="0"/>
          <w:sz w:val="28"/>
          <w:szCs w:val="28"/>
          <w:lang w:val="en-US" w:eastAsia="en-US" w:bidi="en-US"/>
        </w:rPr>
        <w:t>QQ</w:t>
      </w:r>
      <w:r>
        <w:rPr>
          <w:color w:val="000000"/>
          <w:spacing w:val="0"/>
          <w:w w:val="100"/>
          <w:position w:val="0"/>
          <w:sz w:val="28"/>
          <w:szCs w:val="28"/>
          <w:lang w:val="en-US" w:eastAsia="en-US" w:bidi="en-US"/>
        </w:rPr>
        <w:t>、</w:t>
      </w:r>
      <w:r>
        <w:rPr>
          <w:color w:val="000000"/>
          <w:spacing w:val="0"/>
          <w:w w:val="100"/>
          <w:position w:val="0"/>
          <w:sz w:val="28"/>
          <w:szCs w:val="28"/>
        </w:rPr>
        <w:t>邮箱等方式将调查问卷发放给调查对象。问卷调查实施工作可以由评价工作小组组织实施，也可以委托社会专门机构实施，问卷调查要确保样本数量合理。量表性问卷调查样本量一般至少是量表题项数的</w:t>
      </w:r>
      <w:r>
        <w:rPr>
          <w:b/>
          <w:bCs/>
          <w:color w:val="000000"/>
          <w:spacing w:val="0"/>
          <w:w w:val="100"/>
          <w:position w:val="0"/>
          <w:sz w:val="28"/>
          <w:szCs w:val="28"/>
        </w:rPr>
        <w:t>5</w:t>
      </w:r>
      <w:r>
        <w:rPr>
          <w:color w:val="000000"/>
          <w:spacing w:val="0"/>
          <w:w w:val="100"/>
          <w:position w:val="0"/>
          <w:sz w:val="28"/>
          <w:szCs w:val="28"/>
        </w:rPr>
        <w:t>倍，非量表性问卷调查样本量一般至少</w:t>
      </w:r>
      <w:r>
        <w:rPr>
          <w:b/>
          <w:bCs/>
          <w:color w:val="000000"/>
          <w:spacing w:val="0"/>
          <w:w w:val="100"/>
          <w:position w:val="0"/>
          <w:sz w:val="28"/>
          <w:szCs w:val="28"/>
        </w:rPr>
        <w:t>100</w:t>
      </w:r>
      <w:r>
        <w:rPr>
          <w:color w:val="000000"/>
          <w:spacing w:val="0"/>
          <w:w w:val="100"/>
          <w:position w:val="0"/>
          <w:sz w:val="28"/>
          <w:szCs w:val="28"/>
        </w:rPr>
        <w:t>以上。</w:t>
      </w:r>
    </w:p>
    <w:p>
      <w:pPr>
        <w:pStyle w:val="9"/>
        <w:keepNext w:val="0"/>
        <w:keepLines w:val="0"/>
        <w:pageBreakBefore w:val="0"/>
        <w:widowControl w:val="0"/>
        <w:numPr>
          <w:ilvl w:val="0"/>
          <w:numId w:val="2"/>
        </w:numPr>
        <w:shd w:val="clear" w:color="auto" w:fill="auto"/>
        <w:tabs>
          <w:tab w:val="left" w:pos="938"/>
        </w:tabs>
        <w:kinsoku/>
        <w:wordWrap/>
        <w:overflowPunct/>
        <w:topLinePunct w:val="0"/>
        <w:autoSpaceDE/>
        <w:autoSpaceDN/>
        <w:bidi w:val="0"/>
        <w:adjustRightInd/>
        <w:snapToGrid/>
        <w:spacing w:before="0" w:after="0" w:line="480" w:lineRule="exact"/>
        <w:ind w:left="0" w:right="0" w:firstLine="560" w:firstLineChars="200"/>
        <w:jc w:val="both"/>
        <w:textAlignment w:val="auto"/>
        <w:rPr>
          <w:sz w:val="28"/>
          <w:szCs w:val="28"/>
        </w:rPr>
      </w:pPr>
      <w:bookmarkStart w:id="24" w:name="bookmark27"/>
      <w:bookmarkEnd w:id="24"/>
      <w:r>
        <w:rPr>
          <w:color w:val="000000"/>
          <w:spacing w:val="0"/>
          <w:w w:val="100"/>
          <w:position w:val="0"/>
          <w:sz w:val="28"/>
          <w:szCs w:val="28"/>
        </w:rPr>
        <w:t>整理、统计和分析。工作人员要及时对回收的调查问卷进行整理、统计和分析，在深入分析统计结果的基础上，得出初步调查结论。评价工作小组以集体评议的方式对初步调查结论进行综合分析，得出整体性判断，提出改进意见和建议。</w:t>
      </w:r>
    </w:p>
    <w:p>
      <w:pPr>
        <w:pStyle w:val="9"/>
        <w:keepNext w:val="0"/>
        <w:keepLines w:val="0"/>
        <w:pageBreakBefore w:val="0"/>
        <w:widowControl w:val="0"/>
        <w:numPr>
          <w:ilvl w:val="0"/>
          <w:numId w:val="2"/>
        </w:numPr>
        <w:shd w:val="clear" w:color="auto" w:fill="auto"/>
        <w:tabs>
          <w:tab w:val="left" w:pos="938"/>
        </w:tabs>
        <w:kinsoku/>
        <w:wordWrap/>
        <w:overflowPunct/>
        <w:topLinePunct w:val="0"/>
        <w:autoSpaceDE/>
        <w:autoSpaceDN/>
        <w:bidi w:val="0"/>
        <w:adjustRightInd/>
        <w:snapToGrid/>
        <w:spacing w:before="0" w:after="0" w:line="480" w:lineRule="exact"/>
        <w:ind w:left="0" w:right="0" w:firstLine="560" w:firstLineChars="200"/>
        <w:jc w:val="both"/>
        <w:textAlignment w:val="auto"/>
        <w:rPr>
          <w:sz w:val="28"/>
          <w:szCs w:val="28"/>
        </w:rPr>
      </w:pPr>
      <w:bookmarkStart w:id="25" w:name="bookmark28"/>
      <w:bookmarkEnd w:id="25"/>
      <w:r>
        <w:rPr>
          <w:color w:val="000000"/>
          <w:spacing w:val="0"/>
          <w:w w:val="100"/>
          <w:position w:val="0"/>
          <w:sz w:val="28"/>
          <w:szCs w:val="28"/>
        </w:rPr>
        <w:t>撰写问卷调查分析报告。调查分析报告应紧扣评价主题, 简单明了。同时，整理好调查问卷、统计分析记录、集体评议记录等材料归档保存。</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700"/>
        <w:jc w:val="both"/>
        <w:textAlignment w:val="auto"/>
        <w:rPr>
          <w:b/>
          <w:bCs/>
          <w:i w:val="0"/>
          <w:iCs w:val="0"/>
          <w:smallCaps w:val="0"/>
          <w:strike w:val="0"/>
          <w:color w:val="000000"/>
          <w:spacing w:val="0"/>
          <w:w w:val="100"/>
          <w:position w:val="0"/>
          <w:sz w:val="28"/>
          <w:szCs w:val="28"/>
        </w:rPr>
      </w:pPr>
      <w:r>
        <w:rPr>
          <w:b/>
          <w:bCs/>
          <w:i w:val="0"/>
          <w:iCs w:val="0"/>
          <w:smallCaps w:val="0"/>
          <w:strike w:val="0"/>
          <w:color w:val="000000"/>
          <w:spacing w:val="0"/>
          <w:w w:val="100"/>
          <w:position w:val="0"/>
          <w:sz w:val="28"/>
          <w:szCs w:val="28"/>
        </w:rPr>
        <w:t>（三）专家评议法</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sz w:val="28"/>
          <w:szCs w:val="28"/>
        </w:rPr>
      </w:pPr>
      <w:r>
        <w:rPr>
          <w:color w:val="000000"/>
          <w:spacing w:val="0"/>
          <w:w w:val="100"/>
          <w:position w:val="0"/>
          <w:sz w:val="28"/>
          <w:szCs w:val="28"/>
        </w:rPr>
        <w:t>专家评议法是指以函评或会评方式邀请校内外同一专业领域内专家、师范类专业认证专家、教学管理专家等通过审读和分析相关材料，对人才培养目标合理性或达成情况做出整体判断的评价方法。具体操作步骤：</w:t>
      </w:r>
    </w:p>
    <w:p>
      <w:pPr>
        <w:pStyle w:val="9"/>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480" w:lineRule="exact"/>
        <w:ind w:left="0" w:right="0" w:firstLine="560" w:firstLineChars="200"/>
        <w:jc w:val="both"/>
        <w:textAlignment w:val="auto"/>
        <w:rPr>
          <w:sz w:val="28"/>
          <w:szCs w:val="28"/>
        </w:rPr>
      </w:pPr>
      <w:bookmarkStart w:id="26" w:name="bookmark29"/>
      <w:bookmarkEnd w:id="26"/>
      <w:r>
        <w:rPr>
          <w:color w:val="000000"/>
          <w:spacing w:val="0"/>
          <w:w w:val="100"/>
          <w:position w:val="0"/>
          <w:sz w:val="28"/>
          <w:szCs w:val="28"/>
        </w:rPr>
        <w:t>准备好供专家审读的有关人才培养目标合理性或达成情况评价的材料。如人才培养方案，社会需求调研工作方案和分析报告，人才培养目标论证材料，毕业生跟踪调研报告，学校办学和人才培养目标定位阐述材料，用人单位对人才发展潜力、专业技能、综合素质的需求调研报告，毕业生主流职业发展需求调研报告等材料。</w:t>
      </w:r>
    </w:p>
    <w:p>
      <w:pPr>
        <w:pStyle w:val="9"/>
        <w:keepNext w:val="0"/>
        <w:keepLines w:val="0"/>
        <w:pageBreakBefore w:val="0"/>
        <w:widowControl w:val="0"/>
        <w:numPr>
          <w:ilvl w:val="0"/>
          <w:numId w:val="3"/>
        </w:numPr>
        <w:shd w:val="clear" w:color="auto" w:fill="auto"/>
        <w:tabs>
          <w:tab w:val="left" w:pos="1002"/>
        </w:tabs>
        <w:kinsoku/>
        <w:wordWrap/>
        <w:overflowPunct/>
        <w:topLinePunct w:val="0"/>
        <w:autoSpaceDE/>
        <w:autoSpaceDN/>
        <w:bidi w:val="0"/>
        <w:adjustRightInd/>
        <w:snapToGrid/>
        <w:spacing w:before="0" w:after="0" w:line="480" w:lineRule="exact"/>
        <w:ind w:left="0" w:right="0" w:firstLine="560" w:firstLineChars="200"/>
        <w:jc w:val="both"/>
        <w:textAlignment w:val="auto"/>
        <w:rPr>
          <w:sz w:val="28"/>
          <w:szCs w:val="28"/>
        </w:rPr>
      </w:pPr>
      <w:bookmarkStart w:id="27" w:name="bookmark30"/>
      <w:bookmarkEnd w:id="27"/>
      <w:r>
        <w:rPr>
          <w:color w:val="000000"/>
          <w:spacing w:val="0"/>
          <w:w w:val="100"/>
          <w:position w:val="0"/>
          <w:sz w:val="28"/>
          <w:szCs w:val="28"/>
        </w:rPr>
        <w:t>组织评议。如采用函评的方式，则要及时将材料寄送至专家手中，并与专家保持密切联系，及时准确回复专家评审过程中提出的问题和补充需要的材料。如采取会议的方式，要聘请经验丰富的专家担任评议组组长，由组长组织评议。会议评议前，专业负责人要向专家组详细报告人才培养目标制定和达成的有关情况，回答专家组提出的问题。函评一般邀请</w:t>
      </w:r>
      <w:r>
        <w:rPr>
          <w:b/>
          <w:bCs/>
          <w:color w:val="000000"/>
          <w:spacing w:val="0"/>
          <w:w w:val="100"/>
          <w:position w:val="0"/>
          <w:sz w:val="28"/>
          <w:szCs w:val="28"/>
        </w:rPr>
        <w:t>10</w:t>
      </w:r>
      <w:r>
        <w:rPr>
          <w:color w:val="000000"/>
          <w:spacing w:val="0"/>
          <w:w w:val="100"/>
          <w:position w:val="0"/>
          <w:sz w:val="28"/>
          <w:szCs w:val="28"/>
        </w:rPr>
        <w:t>位专家左右，会评一般由</w:t>
      </w:r>
      <w:r>
        <w:rPr>
          <w:b/>
          <w:bCs/>
          <w:color w:val="000000"/>
          <w:spacing w:val="0"/>
          <w:w w:val="100"/>
          <w:position w:val="0"/>
          <w:sz w:val="28"/>
          <w:szCs w:val="28"/>
        </w:rPr>
        <w:t>5</w:t>
      </w:r>
      <w:r>
        <w:rPr>
          <w:color w:val="000000"/>
          <w:spacing w:val="0"/>
          <w:w w:val="100"/>
          <w:position w:val="0"/>
          <w:sz w:val="28"/>
          <w:szCs w:val="28"/>
        </w:rPr>
        <w:t>位左右专家组成专家组。</w:t>
      </w:r>
    </w:p>
    <w:p>
      <w:pPr>
        <w:pStyle w:val="9"/>
        <w:keepNext w:val="0"/>
        <w:keepLines w:val="0"/>
        <w:pageBreakBefore w:val="0"/>
        <w:widowControl w:val="0"/>
        <w:numPr>
          <w:ilvl w:val="0"/>
          <w:numId w:val="3"/>
        </w:numPr>
        <w:shd w:val="clear" w:color="auto" w:fill="auto"/>
        <w:tabs>
          <w:tab w:val="left" w:pos="1006"/>
        </w:tabs>
        <w:kinsoku/>
        <w:wordWrap/>
        <w:overflowPunct/>
        <w:topLinePunct w:val="0"/>
        <w:autoSpaceDE/>
        <w:autoSpaceDN/>
        <w:bidi w:val="0"/>
        <w:adjustRightInd/>
        <w:snapToGrid/>
        <w:spacing w:before="0" w:after="0" w:line="480" w:lineRule="exact"/>
        <w:ind w:left="0" w:right="0" w:firstLine="560" w:firstLineChars="200"/>
        <w:jc w:val="both"/>
        <w:textAlignment w:val="auto"/>
        <w:rPr>
          <w:sz w:val="28"/>
          <w:szCs w:val="28"/>
        </w:rPr>
      </w:pPr>
      <w:bookmarkStart w:id="28" w:name="bookmark31"/>
      <w:bookmarkEnd w:id="28"/>
      <w:r>
        <w:rPr>
          <w:color w:val="000000"/>
          <w:spacing w:val="0"/>
          <w:w w:val="100"/>
          <w:position w:val="0"/>
          <w:sz w:val="28"/>
          <w:szCs w:val="28"/>
        </w:rPr>
        <w:t>整理专家会议评议结论及提出的改进意见和建议。整理好会议记录、评审结论等材料并归档保存。</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center"/>
        <w:textAlignment w:val="auto"/>
        <w:rPr>
          <w:sz w:val="28"/>
          <w:szCs w:val="28"/>
        </w:rPr>
      </w:pPr>
      <w:bookmarkStart w:id="29" w:name="bookmark33"/>
      <w:bookmarkStart w:id="30" w:name="bookmark32"/>
      <w:bookmarkStart w:id="31" w:name="bookmark34"/>
      <w:r>
        <w:rPr>
          <w:color w:val="000000"/>
          <w:spacing w:val="0"/>
          <w:w w:val="100"/>
          <w:position w:val="0"/>
          <w:sz w:val="28"/>
          <w:szCs w:val="28"/>
        </w:rPr>
        <w:t>第五章</w:t>
      </w:r>
      <w:r>
        <w:rPr>
          <w:rFonts w:hint="eastAsia"/>
          <w:color w:val="000000"/>
          <w:spacing w:val="0"/>
          <w:w w:val="100"/>
          <w:position w:val="0"/>
          <w:sz w:val="28"/>
          <w:szCs w:val="28"/>
          <w:lang w:val="en-US" w:eastAsia="zh-CN"/>
        </w:rPr>
        <w:t xml:space="preserve">  </w:t>
      </w:r>
      <w:r>
        <w:rPr>
          <w:color w:val="000000"/>
          <w:spacing w:val="0"/>
          <w:w w:val="100"/>
          <w:position w:val="0"/>
          <w:sz w:val="28"/>
          <w:szCs w:val="28"/>
        </w:rPr>
        <w:t>评价结果及应用</w:t>
      </w:r>
      <w:bookmarkEnd w:id="29"/>
      <w:bookmarkEnd w:id="30"/>
      <w:bookmarkEnd w:id="31"/>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sz w:val="28"/>
          <w:szCs w:val="28"/>
        </w:rPr>
      </w:pPr>
      <w:r>
        <w:rPr>
          <w:b/>
          <w:bCs/>
          <w:color w:val="000000"/>
          <w:spacing w:val="0"/>
          <w:w w:val="100"/>
          <w:position w:val="0"/>
          <w:sz w:val="28"/>
          <w:szCs w:val="28"/>
        </w:rPr>
        <w:t>第十一条</w:t>
      </w:r>
      <w:r>
        <w:rPr>
          <w:rFonts w:hint="eastAsia"/>
          <w:b/>
          <w:bCs/>
          <w:color w:val="000000"/>
          <w:spacing w:val="0"/>
          <w:w w:val="100"/>
          <w:position w:val="0"/>
          <w:sz w:val="28"/>
          <w:szCs w:val="28"/>
          <w:lang w:val="en-US" w:eastAsia="zh-CN"/>
        </w:rPr>
        <w:t xml:space="preserve"> </w:t>
      </w:r>
      <w:r>
        <w:rPr>
          <w:color w:val="000000"/>
          <w:spacing w:val="0"/>
          <w:w w:val="100"/>
          <w:position w:val="0"/>
          <w:sz w:val="28"/>
          <w:szCs w:val="28"/>
        </w:rPr>
        <w:t>评价结果。学院评价工作小组要对通过多种评价方法获得的评价结果进行综合分析，按学校要求形成“人才培养目标合理性评价”和</w:t>
      </w:r>
      <w:r>
        <w:rPr>
          <w:color w:val="000000"/>
          <w:spacing w:val="0"/>
          <w:w w:val="100"/>
          <w:position w:val="0"/>
          <w:sz w:val="28"/>
          <w:szCs w:val="28"/>
          <w:lang w:val="zh-CN" w:eastAsia="zh-CN" w:bidi="zh-CN"/>
        </w:rPr>
        <w:t>“人才</w:t>
      </w:r>
      <w:r>
        <w:rPr>
          <w:color w:val="000000"/>
          <w:spacing w:val="0"/>
          <w:w w:val="100"/>
          <w:position w:val="0"/>
          <w:sz w:val="28"/>
          <w:szCs w:val="28"/>
        </w:rPr>
        <w:t>培养目标达成情况评价”分析报告（见附件），包括专业基本情况、评价依据、评价方法、评价对象、评价结果及分析、主要问题及改进措施等。分析报告和相关支撑材料（评价实施方案、相关纪录、数据和结果使用情况）要完整、可追踪，由学院存档，保存</w:t>
      </w:r>
      <w:r>
        <w:rPr>
          <w:b/>
          <w:bCs/>
          <w:color w:val="000000"/>
          <w:spacing w:val="0"/>
          <w:w w:val="100"/>
          <w:position w:val="0"/>
          <w:sz w:val="28"/>
          <w:szCs w:val="28"/>
        </w:rPr>
        <w:t>6</w:t>
      </w:r>
      <w:r>
        <w:rPr>
          <w:color w:val="000000"/>
          <w:spacing w:val="0"/>
          <w:w w:val="100"/>
          <w:position w:val="0"/>
          <w:sz w:val="28"/>
          <w:szCs w:val="28"/>
        </w:rPr>
        <w:t>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sz w:val="28"/>
          <w:szCs w:val="28"/>
        </w:rPr>
      </w:pPr>
      <w:r>
        <w:rPr>
          <w:b/>
          <w:bCs/>
          <w:color w:val="000000"/>
          <w:spacing w:val="0"/>
          <w:w w:val="100"/>
          <w:position w:val="0"/>
          <w:sz w:val="28"/>
          <w:szCs w:val="28"/>
        </w:rPr>
        <w:t>第十二条</w:t>
      </w:r>
      <w:r>
        <w:rPr>
          <w:rFonts w:hint="eastAsia"/>
          <w:b/>
          <w:bCs/>
          <w:color w:val="000000"/>
          <w:spacing w:val="0"/>
          <w:w w:val="100"/>
          <w:position w:val="0"/>
          <w:sz w:val="28"/>
          <w:szCs w:val="28"/>
          <w:lang w:val="en-US" w:eastAsia="zh-CN"/>
        </w:rPr>
        <w:t xml:space="preserve"> </w:t>
      </w:r>
      <w:r>
        <w:rPr>
          <w:color w:val="000000"/>
          <w:spacing w:val="0"/>
          <w:w w:val="100"/>
          <w:position w:val="0"/>
          <w:sz w:val="28"/>
          <w:szCs w:val="28"/>
        </w:rPr>
        <w:t>结果应用。评价结果要及时向全体教师和相关部门反馈，用于修订人才培养目标、毕业要求，完善课程体系、优化课程结构等方面的工作，作为专业推进人才培养模式创新、深化教育教学改革的重要依据。</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center"/>
        <w:textAlignment w:val="auto"/>
        <w:rPr>
          <w:sz w:val="28"/>
          <w:szCs w:val="28"/>
        </w:rPr>
      </w:pPr>
      <w:bookmarkStart w:id="32" w:name="bookmark36"/>
      <w:bookmarkStart w:id="33" w:name="bookmark37"/>
      <w:bookmarkStart w:id="34" w:name="bookmark35"/>
      <w:r>
        <w:rPr>
          <w:color w:val="000000"/>
          <w:spacing w:val="0"/>
          <w:w w:val="100"/>
          <w:position w:val="0"/>
          <w:sz w:val="28"/>
          <w:szCs w:val="28"/>
        </w:rPr>
        <w:t>第六章</w:t>
      </w:r>
      <w:r>
        <w:rPr>
          <w:rFonts w:hint="eastAsia"/>
          <w:color w:val="000000"/>
          <w:spacing w:val="0"/>
          <w:w w:val="100"/>
          <w:position w:val="0"/>
          <w:sz w:val="28"/>
          <w:szCs w:val="28"/>
          <w:lang w:val="en-US" w:eastAsia="zh-CN"/>
        </w:rPr>
        <w:t xml:space="preserve">  </w:t>
      </w:r>
      <w:r>
        <w:rPr>
          <w:color w:val="000000"/>
          <w:spacing w:val="0"/>
          <w:w w:val="100"/>
          <w:position w:val="0"/>
          <w:sz w:val="28"/>
          <w:szCs w:val="28"/>
        </w:rPr>
        <w:t>组织实施</w:t>
      </w:r>
      <w:bookmarkEnd w:id="32"/>
      <w:bookmarkEnd w:id="33"/>
      <w:bookmarkEnd w:id="34"/>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sz w:val="28"/>
          <w:szCs w:val="28"/>
        </w:rPr>
      </w:pPr>
      <w:r>
        <w:rPr>
          <w:b/>
          <w:bCs/>
          <w:color w:val="000000"/>
          <w:spacing w:val="0"/>
          <w:w w:val="100"/>
          <w:position w:val="0"/>
          <w:sz w:val="28"/>
          <w:szCs w:val="28"/>
        </w:rPr>
        <w:t>第十三条</w:t>
      </w:r>
      <w:r>
        <w:rPr>
          <w:rFonts w:hint="eastAsia"/>
          <w:b/>
          <w:bCs/>
          <w:color w:val="000000"/>
          <w:spacing w:val="0"/>
          <w:w w:val="100"/>
          <w:position w:val="0"/>
          <w:sz w:val="28"/>
          <w:szCs w:val="28"/>
          <w:lang w:val="en-US" w:eastAsia="zh-CN"/>
        </w:rPr>
        <w:t xml:space="preserve"> </w:t>
      </w:r>
      <w:r>
        <w:rPr>
          <w:color w:val="000000"/>
          <w:spacing w:val="0"/>
          <w:w w:val="100"/>
          <w:position w:val="0"/>
          <w:sz w:val="28"/>
          <w:szCs w:val="28"/>
        </w:rPr>
        <w:t>人才培养目标评价实行</w:t>
      </w:r>
      <w:r>
        <w:rPr>
          <w:rFonts w:hint="eastAsia"/>
          <w:color w:val="000000"/>
          <w:spacing w:val="0"/>
          <w:w w:val="100"/>
          <w:position w:val="0"/>
          <w:sz w:val="28"/>
          <w:szCs w:val="28"/>
          <w:lang w:eastAsia="zh-CN"/>
        </w:rPr>
        <w:t>学校教学质量监测与评估中心</w:t>
      </w:r>
      <w:r>
        <w:rPr>
          <w:color w:val="000000"/>
          <w:spacing w:val="0"/>
          <w:w w:val="100"/>
          <w:position w:val="0"/>
          <w:sz w:val="28"/>
          <w:szCs w:val="28"/>
        </w:rPr>
        <w:t>统筹协调、指导监督，学院具体组织实施的运行方式。学院要依据本办法，结合学科专业特点和实际，制定专业人才培养目标评价实施方案，定期对专业人才培养目标合理性和达成情况进行评价；要根据评价结果制定改进措施，形成</w:t>
      </w:r>
      <w:r>
        <w:rPr>
          <w:color w:val="000000"/>
          <w:spacing w:val="0"/>
          <w:w w:val="100"/>
          <w:position w:val="0"/>
          <w:sz w:val="28"/>
          <w:szCs w:val="28"/>
          <w:lang w:val="zh-CN" w:eastAsia="zh-CN" w:bidi="zh-CN"/>
        </w:rPr>
        <w:t>“评价</w:t>
      </w:r>
      <w:r>
        <w:rPr>
          <w:color w:val="000000"/>
          <w:spacing w:val="0"/>
          <w:w w:val="100"/>
          <w:position w:val="0"/>
          <w:sz w:val="28"/>
          <w:szCs w:val="28"/>
        </w:rPr>
        <w:t>-反馈-改进</w:t>
      </w:r>
      <w:r>
        <w:rPr>
          <w:color w:val="000000"/>
          <w:spacing w:val="0"/>
          <w:w w:val="100"/>
          <w:position w:val="0"/>
          <w:sz w:val="28"/>
          <w:szCs w:val="28"/>
          <w:lang w:val="zh-CN" w:eastAsia="zh-CN" w:bidi="zh-CN"/>
        </w:rPr>
        <w:t>”闭</w:t>
      </w:r>
      <w:r>
        <w:rPr>
          <w:color w:val="000000"/>
          <w:spacing w:val="0"/>
          <w:w w:val="100"/>
          <w:position w:val="0"/>
          <w:sz w:val="28"/>
          <w:szCs w:val="28"/>
        </w:rPr>
        <w:t>环管理的持续改进机制，促进教育教学水平持续提升。</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sz w:val="28"/>
          <w:szCs w:val="28"/>
        </w:rPr>
      </w:pPr>
      <w:r>
        <w:rPr>
          <w:b/>
          <w:bCs/>
          <w:color w:val="000000"/>
          <w:spacing w:val="0"/>
          <w:w w:val="100"/>
          <w:position w:val="0"/>
          <w:sz w:val="28"/>
          <w:szCs w:val="28"/>
        </w:rPr>
        <w:t>第十四条</w:t>
      </w:r>
      <w:r>
        <w:rPr>
          <w:rFonts w:hint="eastAsia"/>
          <w:b/>
          <w:bCs/>
          <w:color w:val="000000"/>
          <w:spacing w:val="0"/>
          <w:w w:val="100"/>
          <w:position w:val="0"/>
          <w:sz w:val="28"/>
          <w:szCs w:val="28"/>
          <w:lang w:val="en-US" w:eastAsia="zh-CN"/>
        </w:rPr>
        <w:t xml:space="preserve"> </w:t>
      </w:r>
      <w:r>
        <w:rPr>
          <w:color w:val="000000"/>
          <w:spacing w:val="0"/>
          <w:w w:val="100"/>
          <w:position w:val="0"/>
          <w:sz w:val="28"/>
          <w:szCs w:val="28"/>
        </w:rPr>
        <w:t>强化审核机制建设。学院专业人才培养目标评价实施方案须经院长审核签字后执行。评价分析报告经教学副院长、院长审核签字后，报</w:t>
      </w:r>
      <w:r>
        <w:rPr>
          <w:rFonts w:hint="eastAsia"/>
          <w:color w:val="000000"/>
          <w:spacing w:val="0"/>
          <w:w w:val="100"/>
          <w:position w:val="0"/>
          <w:sz w:val="28"/>
          <w:szCs w:val="28"/>
          <w:lang w:eastAsia="zh-CN"/>
        </w:rPr>
        <w:t>学校教学质量监测与评估中心</w:t>
      </w:r>
      <w:r>
        <w:rPr>
          <w:color w:val="000000"/>
          <w:spacing w:val="0"/>
          <w:w w:val="100"/>
          <w:position w:val="0"/>
          <w:sz w:val="28"/>
          <w:szCs w:val="28"/>
        </w:rPr>
        <w:t>备案。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sz w:val="28"/>
          <w:szCs w:val="28"/>
        </w:rPr>
      </w:pPr>
      <w:r>
        <w:rPr>
          <w:b/>
          <w:bCs/>
          <w:color w:val="000000"/>
          <w:spacing w:val="0"/>
          <w:w w:val="100"/>
          <w:position w:val="0"/>
          <w:sz w:val="28"/>
          <w:szCs w:val="28"/>
        </w:rPr>
        <w:t>第十五条</w:t>
      </w:r>
      <w:r>
        <w:rPr>
          <w:rFonts w:hint="eastAsia"/>
          <w:b/>
          <w:bCs/>
          <w:color w:val="000000"/>
          <w:spacing w:val="0"/>
          <w:w w:val="100"/>
          <w:position w:val="0"/>
          <w:sz w:val="28"/>
          <w:szCs w:val="28"/>
          <w:lang w:val="en-US" w:eastAsia="zh-CN"/>
        </w:rPr>
        <w:t xml:space="preserve"> </w:t>
      </w:r>
      <w:r>
        <w:rPr>
          <w:color w:val="000000"/>
          <w:spacing w:val="0"/>
          <w:w w:val="100"/>
          <w:position w:val="0"/>
          <w:sz w:val="28"/>
          <w:szCs w:val="28"/>
        </w:rPr>
        <w:t>各学院在人才培养目标评价实施过程中，要结合专业特点积极探索创新性的评价机制和模式，规范和优化评价工作流程，不断完善面向产出的评价改进机制。</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center"/>
        <w:textAlignment w:val="auto"/>
        <w:rPr>
          <w:sz w:val="28"/>
          <w:szCs w:val="28"/>
        </w:rPr>
      </w:pPr>
      <w:bookmarkStart w:id="35" w:name="bookmark38"/>
      <w:bookmarkStart w:id="36" w:name="bookmark40"/>
      <w:bookmarkStart w:id="37" w:name="bookmark39"/>
      <w:r>
        <w:rPr>
          <w:color w:val="000000"/>
          <w:spacing w:val="0"/>
          <w:w w:val="100"/>
          <w:position w:val="0"/>
          <w:sz w:val="28"/>
          <w:szCs w:val="28"/>
        </w:rPr>
        <w:t>第七章附则</w:t>
      </w:r>
      <w:bookmarkEnd w:id="35"/>
      <w:bookmarkEnd w:id="36"/>
      <w:bookmarkEnd w:id="37"/>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left"/>
        <w:textAlignment w:val="auto"/>
        <w:rPr>
          <w:sz w:val="28"/>
          <w:szCs w:val="28"/>
        </w:rPr>
      </w:pPr>
      <w:r>
        <w:rPr>
          <w:b/>
          <w:bCs/>
          <w:color w:val="000000"/>
          <w:spacing w:val="0"/>
          <w:w w:val="100"/>
          <w:position w:val="0"/>
          <w:sz w:val="28"/>
          <w:szCs w:val="28"/>
        </w:rPr>
        <w:t xml:space="preserve">第十六条 </w:t>
      </w:r>
      <w:r>
        <w:rPr>
          <w:color w:val="000000"/>
          <w:spacing w:val="0"/>
          <w:w w:val="100"/>
          <w:position w:val="0"/>
          <w:sz w:val="28"/>
          <w:szCs w:val="28"/>
        </w:rPr>
        <w:t>本办法自印发之日起施行。</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firstLineChars="200"/>
        <w:jc w:val="both"/>
        <w:textAlignment w:val="auto"/>
        <w:rPr>
          <w:color w:val="000000"/>
          <w:spacing w:val="0"/>
          <w:w w:val="100"/>
          <w:position w:val="0"/>
          <w:sz w:val="28"/>
          <w:szCs w:val="28"/>
        </w:rPr>
      </w:pPr>
      <w:r>
        <w:rPr>
          <w:b/>
          <w:bCs/>
          <w:color w:val="000000"/>
          <w:spacing w:val="0"/>
          <w:w w:val="100"/>
          <w:position w:val="0"/>
          <w:sz w:val="28"/>
          <w:szCs w:val="28"/>
        </w:rPr>
        <w:t xml:space="preserve">第十七条 </w:t>
      </w:r>
      <w:r>
        <w:rPr>
          <w:color w:val="000000"/>
          <w:spacing w:val="0"/>
          <w:w w:val="100"/>
          <w:position w:val="0"/>
          <w:sz w:val="28"/>
          <w:szCs w:val="28"/>
        </w:rPr>
        <w:t>本办法由</w:t>
      </w:r>
      <w:r>
        <w:rPr>
          <w:rFonts w:hint="eastAsia"/>
          <w:color w:val="000000"/>
          <w:spacing w:val="0"/>
          <w:w w:val="100"/>
          <w:position w:val="0"/>
          <w:sz w:val="28"/>
          <w:szCs w:val="28"/>
          <w:lang w:eastAsia="zh-CN"/>
        </w:rPr>
        <w:t>学校教学质量监测与评估中心</w:t>
      </w:r>
      <w:r>
        <w:rPr>
          <w:color w:val="000000"/>
          <w:spacing w:val="0"/>
          <w:w w:val="100"/>
          <w:position w:val="0"/>
          <w:sz w:val="28"/>
          <w:szCs w:val="28"/>
        </w:rPr>
        <w:t>负责解释。</w:t>
      </w:r>
    </w:p>
    <w:p>
      <w:pPr>
        <w:pStyle w:val="9"/>
        <w:keepNext w:val="0"/>
        <w:keepLines w:val="0"/>
        <w:pageBreakBefore w:val="0"/>
        <w:widowControl w:val="0"/>
        <w:shd w:val="clear" w:color="auto" w:fill="auto"/>
        <w:kinsoku/>
        <w:wordWrap/>
        <w:overflowPunct/>
        <w:topLinePunct w:val="0"/>
        <w:autoSpaceDE/>
        <w:autoSpaceDN/>
        <w:bidi w:val="0"/>
        <w:adjustRightInd/>
        <w:snapToGrid/>
        <w:spacing w:before="361" w:beforeLines="100" w:after="0" w:line="480" w:lineRule="exact"/>
        <w:ind w:left="0" w:right="0" w:firstLine="0" w:firstLineChars="0"/>
        <w:jc w:val="both"/>
        <w:textAlignment w:val="auto"/>
        <w:rPr>
          <w:rFonts w:hint="default"/>
          <w:color w:val="000000"/>
          <w:spacing w:val="0"/>
          <w:w w:val="100"/>
          <w:position w:val="0"/>
          <w:sz w:val="28"/>
          <w:szCs w:val="28"/>
          <w:lang w:val="en-US" w:eastAsia="zh-CN"/>
        </w:rPr>
      </w:pPr>
      <w:r>
        <w:rPr>
          <w:rFonts w:hint="eastAsia"/>
          <w:color w:val="000000"/>
          <w:spacing w:val="0"/>
          <w:w w:val="100"/>
          <w:position w:val="0"/>
          <w:sz w:val="28"/>
          <w:szCs w:val="28"/>
          <w:lang w:eastAsia="zh-CN"/>
        </w:rPr>
        <w:t>附件：</w:t>
      </w:r>
      <w:r>
        <w:rPr>
          <w:color w:val="000000"/>
          <w:spacing w:val="0"/>
          <w:w w:val="100"/>
          <w:position w:val="0"/>
          <w:sz w:val="28"/>
          <w:szCs w:val="28"/>
        </w:rPr>
        <w:t>XX专业人才培养目标合理性评价（达成情况评价）分析报告</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jc w:val="both"/>
        <w:textAlignment w:val="auto"/>
        <w:rPr>
          <w:color w:val="000000"/>
          <w:spacing w:val="0"/>
          <w:w w:val="100"/>
          <w:position w:val="0"/>
          <w:sz w:val="28"/>
          <w:szCs w:val="28"/>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jc w:val="both"/>
        <w:textAlignment w:val="auto"/>
        <w:rPr>
          <w:color w:val="000000"/>
          <w:spacing w:val="0"/>
          <w:w w:val="100"/>
          <w:position w:val="0"/>
          <w:sz w:val="28"/>
          <w:szCs w:val="28"/>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121" w:firstLineChars="1829"/>
        <w:jc w:val="both"/>
        <w:textAlignment w:val="auto"/>
        <w:rPr>
          <w:rFonts w:hint="eastAsia"/>
          <w:color w:val="000000"/>
          <w:spacing w:val="0"/>
          <w:w w:val="100"/>
          <w:position w:val="0"/>
          <w:sz w:val="28"/>
          <w:szCs w:val="28"/>
          <w:lang w:eastAsia="zh-CN"/>
        </w:rPr>
      </w:pPr>
      <w:r>
        <w:rPr>
          <w:rFonts w:hint="eastAsia"/>
          <w:color w:val="000000"/>
          <w:spacing w:val="0"/>
          <w:w w:val="100"/>
          <w:position w:val="0"/>
          <w:sz w:val="28"/>
          <w:szCs w:val="28"/>
          <w:lang w:eastAsia="zh-CN"/>
        </w:rPr>
        <w:t>教学质量监测与评估中心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right="0" w:firstLine="5493" w:firstLineChars="1962"/>
        <w:jc w:val="both"/>
        <w:textAlignment w:val="auto"/>
        <w:rPr>
          <w:rFonts w:hint="default"/>
          <w:color w:val="000000"/>
          <w:spacing w:val="0"/>
          <w:w w:val="100"/>
          <w:position w:val="0"/>
          <w:sz w:val="28"/>
          <w:szCs w:val="28"/>
          <w:lang w:val="en-US" w:eastAsia="zh-CN"/>
        </w:rPr>
        <w:sectPr>
          <w:footerReference r:id="rId8" w:type="default"/>
          <w:footnotePr>
            <w:numFmt w:val="decimal"/>
          </w:footnotePr>
          <w:type w:val="continuous"/>
          <w:pgSz w:w="11900" w:h="16840"/>
          <w:pgMar w:top="1402" w:right="1702" w:bottom="1236" w:left="1606" w:header="974" w:footer="3" w:gutter="0"/>
          <w:pgNumType w:fmt="decimal"/>
          <w:cols w:space="720" w:num="1"/>
          <w:rtlGutter w:val="0"/>
          <w:docGrid w:linePitch="360" w:charSpace="0"/>
        </w:sectPr>
      </w:pPr>
      <w:r>
        <w:rPr>
          <w:rFonts w:hint="eastAsia"/>
          <w:color w:val="000000"/>
          <w:spacing w:val="0"/>
          <w:w w:val="100"/>
          <w:position w:val="0"/>
          <w:sz w:val="28"/>
          <w:szCs w:val="28"/>
          <w:lang w:val="en-US" w:eastAsia="zh-CN"/>
        </w:rPr>
        <w:t>2021年10月29日</w:t>
      </w:r>
    </w:p>
    <w:p>
      <w:pPr>
        <w:pStyle w:val="21"/>
        <w:keepNext w:val="0"/>
        <w:keepLines w:val="0"/>
        <w:widowControl w:val="0"/>
        <w:shd w:val="clear" w:color="auto" w:fill="auto"/>
        <w:bidi w:val="0"/>
        <w:spacing w:before="0" w:after="760" w:line="240" w:lineRule="auto"/>
        <w:ind w:left="0" w:right="0" w:firstLine="0"/>
        <w:jc w:val="left"/>
        <w:rPr>
          <w:sz w:val="28"/>
          <w:szCs w:val="28"/>
        </w:rPr>
      </w:pPr>
      <w:r>
        <w:rPr>
          <w:color w:val="000000"/>
          <w:spacing w:val="0"/>
          <w:w w:val="100"/>
          <w:position w:val="0"/>
          <w:sz w:val="28"/>
          <w:szCs w:val="28"/>
        </w:rPr>
        <w:t>附件:</w:t>
      </w:r>
    </w:p>
    <w:p>
      <w:pPr>
        <w:pStyle w:val="21"/>
        <w:keepNext w:val="0"/>
        <w:keepLines w:val="0"/>
        <w:widowControl w:val="0"/>
        <w:shd w:val="clear" w:color="auto" w:fill="auto"/>
        <w:bidi w:val="0"/>
        <w:spacing w:before="0" w:after="360"/>
        <w:ind w:left="0" w:right="0" w:firstLine="0"/>
        <w:jc w:val="center"/>
        <w:rPr>
          <w:rFonts w:hint="eastAsia" w:ascii="宋体" w:hAnsi="宋体" w:eastAsia="宋体" w:cs="宋体"/>
          <w:sz w:val="36"/>
          <w:szCs w:val="36"/>
        </w:rPr>
      </w:pPr>
      <w:r>
        <w:rPr>
          <w:rFonts w:hint="eastAsia" w:ascii="宋体" w:hAnsi="宋体" w:eastAsia="宋体" w:cs="宋体"/>
          <w:color w:val="000000"/>
          <w:spacing w:val="0"/>
          <w:w w:val="100"/>
          <w:position w:val="0"/>
          <w:sz w:val="36"/>
          <w:szCs w:val="36"/>
        </w:rPr>
        <w:t>XX专业人才培养目标合理性评价（达成情况评价）</w:t>
      </w:r>
      <w:r>
        <w:rPr>
          <w:rFonts w:hint="eastAsia" w:ascii="宋体" w:hAnsi="宋体" w:eastAsia="宋体" w:cs="宋体"/>
          <w:color w:val="000000"/>
          <w:spacing w:val="0"/>
          <w:w w:val="100"/>
          <w:position w:val="0"/>
          <w:sz w:val="36"/>
          <w:szCs w:val="36"/>
        </w:rPr>
        <w:br w:type="textWrapping"/>
      </w:r>
      <w:r>
        <w:rPr>
          <w:rFonts w:hint="eastAsia" w:ascii="宋体" w:hAnsi="宋体" w:eastAsia="宋体" w:cs="宋体"/>
          <w:color w:val="000000"/>
          <w:spacing w:val="0"/>
          <w:w w:val="100"/>
          <w:position w:val="0"/>
          <w:sz w:val="36"/>
          <w:szCs w:val="36"/>
        </w:rPr>
        <w:t>分</w:t>
      </w:r>
      <w:r>
        <w:rPr>
          <w:rFonts w:hint="eastAsia" w:ascii="宋体" w:hAnsi="宋体" w:eastAsia="宋体" w:cs="宋体"/>
          <w:color w:val="000000"/>
          <w:spacing w:val="0"/>
          <w:w w:val="100"/>
          <w:position w:val="0"/>
          <w:sz w:val="36"/>
          <w:szCs w:val="36"/>
          <w:lang w:val="en-US" w:eastAsia="zh-CN"/>
        </w:rPr>
        <w:t xml:space="preserve"> </w:t>
      </w:r>
      <w:r>
        <w:rPr>
          <w:rFonts w:hint="eastAsia" w:ascii="宋体" w:hAnsi="宋体" w:eastAsia="宋体" w:cs="宋体"/>
          <w:color w:val="000000"/>
          <w:spacing w:val="0"/>
          <w:w w:val="100"/>
          <w:position w:val="0"/>
          <w:sz w:val="36"/>
          <w:szCs w:val="36"/>
        </w:rPr>
        <w:t>析</w:t>
      </w:r>
      <w:r>
        <w:rPr>
          <w:rFonts w:hint="eastAsia" w:ascii="宋体" w:hAnsi="宋体" w:eastAsia="宋体" w:cs="宋体"/>
          <w:color w:val="000000"/>
          <w:spacing w:val="0"/>
          <w:w w:val="100"/>
          <w:position w:val="0"/>
          <w:sz w:val="36"/>
          <w:szCs w:val="36"/>
          <w:lang w:val="en-US" w:eastAsia="zh-CN"/>
        </w:rPr>
        <w:t xml:space="preserve"> </w:t>
      </w:r>
      <w:r>
        <w:rPr>
          <w:rFonts w:hint="eastAsia" w:ascii="宋体" w:hAnsi="宋体" w:eastAsia="宋体" w:cs="宋体"/>
          <w:color w:val="000000"/>
          <w:spacing w:val="0"/>
          <w:w w:val="100"/>
          <w:position w:val="0"/>
          <w:sz w:val="36"/>
          <w:szCs w:val="36"/>
        </w:rPr>
        <w:t>报</w:t>
      </w:r>
      <w:r>
        <w:rPr>
          <w:rFonts w:hint="eastAsia" w:ascii="宋体" w:hAnsi="宋体" w:eastAsia="宋体" w:cs="宋体"/>
          <w:color w:val="000000"/>
          <w:spacing w:val="0"/>
          <w:w w:val="100"/>
          <w:position w:val="0"/>
          <w:sz w:val="36"/>
          <w:szCs w:val="36"/>
          <w:lang w:val="en-US" w:eastAsia="zh-CN"/>
        </w:rPr>
        <w:t xml:space="preserve"> </w:t>
      </w:r>
      <w:r>
        <w:rPr>
          <w:rFonts w:hint="eastAsia" w:ascii="宋体" w:hAnsi="宋体" w:eastAsia="宋体" w:cs="宋体"/>
          <w:color w:val="000000"/>
          <w:spacing w:val="0"/>
          <w:w w:val="100"/>
          <w:position w:val="0"/>
          <w:sz w:val="36"/>
          <w:szCs w:val="36"/>
        </w:rPr>
        <w:t>告</w:t>
      </w:r>
    </w:p>
    <w:tbl>
      <w:tblPr>
        <w:tblStyle w:val="4"/>
        <w:tblW w:w="0" w:type="auto"/>
        <w:jc w:val="center"/>
        <w:tblLayout w:type="fixed"/>
        <w:tblCellMar>
          <w:top w:w="0" w:type="dxa"/>
          <w:left w:w="10" w:type="dxa"/>
          <w:bottom w:w="0" w:type="dxa"/>
          <w:right w:w="10" w:type="dxa"/>
        </w:tblCellMar>
      </w:tblPr>
      <w:tblGrid>
        <w:gridCol w:w="2846"/>
        <w:gridCol w:w="5405"/>
      </w:tblGrid>
      <w:tr>
        <w:tblPrEx>
          <w:tblCellMar>
            <w:top w:w="0" w:type="dxa"/>
            <w:left w:w="10" w:type="dxa"/>
            <w:bottom w:w="0" w:type="dxa"/>
            <w:right w:w="10" w:type="dxa"/>
          </w:tblCellMar>
        </w:tblPrEx>
        <w:trPr>
          <w:trHeight w:val="739"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专业负责人（签字）</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教学副院长（签字）</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1"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80" w:right="0" w:firstLine="0"/>
              <w:jc w:val="center"/>
            </w:pPr>
            <w:r>
              <w:rPr>
                <w:color w:val="000000"/>
                <w:spacing w:val="0"/>
                <w:w w:val="100"/>
                <w:position w:val="0"/>
              </w:rPr>
              <w:t>院长（签字）</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539" w:line="1" w:lineRule="exact"/>
      </w:pPr>
    </w:p>
    <w:p>
      <w:pPr>
        <w:pStyle w:val="9"/>
        <w:keepNext w:val="0"/>
        <w:keepLines w:val="0"/>
        <w:widowControl w:val="0"/>
        <w:shd w:val="clear" w:color="auto" w:fill="auto"/>
        <w:tabs>
          <w:tab w:val="left" w:pos="602"/>
        </w:tabs>
        <w:bidi w:val="0"/>
        <w:spacing w:before="0" w:after="700" w:line="240" w:lineRule="auto"/>
        <w:ind w:left="0" w:right="0" w:firstLine="0"/>
        <w:jc w:val="left"/>
      </w:pPr>
      <w:bookmarkStart w:id="38" w:name="bookmark41"/>
      <w:r>
        <w:rPr>
          <w:color w:val="000000"/>
          <w:spacing w:val="0"/>
          <w:w w:val="100"/>
          <w:position w:val="0"/>
        </w:rPr>
        <w:t>一</w:t>
      </w:r>
      <w:bookmarkEnd w:id="38"/>
      <w:r>
        <w:rPr>
          <w:color w:val="000000"/>
          <w:spacing w:val="0"/>
          <w:w w:val="100"/>
          <w:position w:val="0"/>
        </w:rPr>
        <w:t>、</w:t>
      </w:r>
      <w:r>
        <w:rPr>
          <w:color w:val="000000"/>
          <w:spacing w:val="0"/>
          <w:w w:val="100"/>
          <w:position w:val="0"/>
        </w:rPr>
        <w:tab/>
      </w:r>
      <w:r>
        <w:rPr>
          <w:color w:val="000000"/>
          <w:spacing w:val="0"/>
          <w:w w:val="100"/>
          <w:position w:val="0"/>
        </w:rPr>
        <w:t>专业基本情况</w:t>
      </w:r>
    </w:p>
    <w:p>
      <w:pPr>
        <w:pStyle w:val="9"/>
        <w:keepNext w:val="0"/>
        <w:keepLines w:val="0"/>
        <w:widowControl w:val="0"/>
        <w:shd w:val="clear" w:color="auto" w:fill="auto"/>
        <w:tabs>
          <w:tab w:val="left" w:pos="602"/>
        </w:tabs>
        <w:bidi w:val="0"/>
        <w:spacing w:before="0" w:after="700" w:line="240" w:lineRule="auto"/>
        <w:ind w:left="0" w:right="0" w:firstLine="0"/>
        <w:jc w:val="left"/>
      </w:pPr>
      <w:bookmarkStart w:id="39" w:name="bookmark42"/>
      <w:r>
        <w:rPr>
          <w:color w:val="000000"/>
          <w:spacing w:val="0"/>
          <w:w w:val="100"/>
          <w:position w:val="0"/>
        </w:rPr>
        <w:t>二</w:t>
      </w:r>
      <w:bookmarkEnd w:id="39"/>
      <w:r>
        <w:rPr>
          <w:color w:val="000000"/>
          <w:spacing w:val="0"/>
          <w:w w:val="100"/>
          <w:position w:val="0"/>
        </w:rPr>
        <w:t>、</w:t>
      </w:r>
      <w:r>
        <w:rPr>
          <w:color w:val="000000"/>
          <w:spacing w:val="0"/>
          <w:w w:val="100"/>
          <w:position w:val="0"/>
        </w:rPr>
        <w:tab/>
      </w:r>
      <w:r>
        <w:rPr>
          <w:color w:val="000000"/>
          <w:spacing w:val="0"/>
          <w:w w:val="100"/>
          <w:position w:val="0"/>
        </w:rPr>
        <w:t>评价依据</w:t>
      </w:r>
    </w:p>
    <w:p>
      <w:pPr>
        <w:pStyle w:val="9"/>
        <w:keepNext w:val="0"/>
        <w:keepLines w:val="0"/>
        <w:widowControl w:val="0"/>
        <w:shd w:val="clear" w:color="auto" w:fill="auto"/>
        <w:tabs>
          <w:tab w:val="left" w:pos="602"/>
        </w:tabs>
        <w:bidi w:val="0"/>
        <w:spacing w:before="0" w:after="700" w:line="240" w:lineRule="auto"/>
        <w:ind w:left="0" w:right="0" w:firstLine="0"/>
        <w:jc w:val="left"/>
      </w:pPr>
      <w:bookmarkStart w:id="40" w:name="bookmark43"/>
      <w:r>
        <w:rPr>
          <w:color w:val="000000"/>
          <w:spacing w:val="0"/>
          <w:w w:val="100"/>
          <w:position w:val="0"/>
        </w:rPr>
        <w:t>三</w:t>
      </w:r>
      <w:bookmarkEnd w:id="40"/>
      <w:r>
        <w:rPr>
          <w:color w:val="000000"/>
          <w:spacing w:val="0"/>
          <w:w w:val="100"/>
          <w:position w:val="0"/>
        </w:rPr>
        <w:t>、</w:t>
      </w:r>
      <w:r>
        <w:rPr>
          <w:color w:val="000000"/>
          <w:spacing w:val="0"/>
          <w:w w:val="100"/>
          <w:position w:val="0"/>
        </w:rPr>
        <w:tab/>
      </w:r>
      <w:r>
        <w:rPr>
          <w:color w:val="000000"/>
          <w:spacing w:val="0"/>
          <w:w w:val="100"/>
          <w:position w:val="0"/>
        </w:rPr>
        <w:t>评价方法、评价对象</w:t>
      </w:r>
    </w:p>
    <w:p>
      <w:pPr>
        <w:pStyle w:val="9"/>
        <w:keepNext w:val="0"/>
        <w:keepLines w:val="0"/>
        <w:widowControl w:val="0"/>
        <w:shd w:val="clear" w:color="auto" w:fill="auto"/>
        <w:tabs>
          <w:tab w:val="left" w:pos="602"/>
        </w:tabs>
        <w:bidi w:val="0"/>
        <w:spacing w:before="0" w:after="700" w:line="240" w:lineRule="auto"/>
        <w:ind w:left="0" w:right="0" w:firstLine="0"/>
        <w:jc w:val="left"/>
      </w:pPr>
      <w:bookmarkStart w:id="41" w:name="bookmark44"/>
      <w:r>
        <w:rPr>
          <w:color w:val="000000"/>
          <w:spacing w:val="0"/>
          <w:w w:val="100"/>
          <w:position w:val="0"/>
        </w:rPr>
        <w:t>四</w:t>
      </w:r>
      <w:bookmarkEnd w:id="41"/>
      <w:r>
        <w:rPr>
          <w:color w:val="000000"/>
          <w:spacing w:val="0"/>
          <w:w w:val="100"/>
          <w:position w:val="0"/>
        </w:rPr>
        <w:t>、</w:t>
      </w:r>
      <w:r>
        <w:rPr>
          <w:color w:val="000000"/>
          <w:spacing w:val="0"/>
          <w:w w:val="100"/>
          <w:position w:val="0"/>
        </w:rPr>
        <w:tab/>
      </w:r>
      <w:r>
        <w:rPr>
          <w:color w:val="000000"/>
          <w:spacing w:val="0"/>
          <w:w w:val="100"/>
          <w:position w:val="0"/>
        </w:rPr>
        <w:t>评价结果及分析</w:t>
      </w:r>
    </w:p>
    <w:p>
      <w:pPr>
        <w:pStyle w:val="9"/>
        <w:keepNext w:val="0"/>
        <w:keepLines w:val="0"/>
        <w:widowControl w:val="0"/>
        <w:shd w:val="clear" w:color="auto" w:fill="auto"/>
        <w:tabs>
          <w:tab w:val="left" w:pos="602"/>
        </w:tabs>
        <w:bidi w:val="0"/>
        <w:spacing w:before="0" w:after="700" w:line="240" w:lineRule="auto"/>
        <w:ind w:left="0" w:right="0" w:firstLine="0"/>
        <w:jc w:val="left"/>
      </w:pPr>
      <w:bookmarkStart w:id="42" w:name="bookmark45"/>
      <w:r>
        <w:rPr>
          <w:color w:val="000000"/>
          <w:spacing w:val="0"/>
          <w:w w:val="100"/>
          <w:position w:val="0"/>
        </w:rPr>
        <w:t>五</w:t>
      </w:r>
      <w:bookmarkEnd w:id="42"/>
      <w:r>
        <w:rPr>
          <w:color w:val="000000"/>
          <w:spacing w:val="0"/>
          <w:w w:val="100"/>
          <w:position w:val="0"/>
        </w:rPr>
        <w:t>、</w:t>
      </w:r>
      <w:r>
        <w:rPr>
          <w:color w:val="000000"/>
          <w:spacing w:val="0"/>
          <w:w w:val="100"/>
          <w:position w:val="0"/>
        </w:rPr>
        <w:tab/>
      </w:r>
      <w:r>
        <w:rPr>
          <w:color w:val="000000"/>
          <w:spacing w:val="0"/>
          <w:w w:val="100"/>
          <w:position w:val="0"/>
        </w:rPr>
        <w:t>主要问题与改进措施</w:t>
      </w:r>
    </w:p>
    <w:sectPr>
      <w:footerReference r:id="rId9" w:type="default"/>
      <w:footnotePr>
        <w:numFmt w:val="decimal"/>
      </w:footnotePr>
      <w:pgSz w:w="11900" w:h="16840"/>
      <w:pgMar w:top="1402" w:right="1702" w:bottom="1236" w:left="1606" w:header="974" w:footer="3"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48895" cy="79375"/>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rPr>
                              <w:sz w:val="19"/>
                              <w:szCs w:val="19"/>
                            </w:rPr>
                          </w:pPr>
                          <w:r>
                            <w:rPr>
                              <w:sz w:val="19"/>
                              <w:szCs w:val="19"/>
                            </w:rPr>
                            <w:fldChar w:fldCharType="begin"/>
                          </w:r>
                          <w:r>
                            <w:rPr>
                              <w:sz w:val="19"/>
                              <w:szCs w:val="19"/>
                            </w:rPr>
                            <w:instrText xml:space="preserve"> PAGE  \* MERGEFORMAT </w:instrText>
                          </w:r>
                          <w:r>
                            <w:rPr>
                              <w:sz w:val="19"/>
                              <w:szCs w:val="19"/>
                            </w:rPr>
                            <w:fldChar w:fldCharType="separate"/>
                          </w:r>
                          <w:r>
                            <w:rPr>
                              <w:sz w:val="19"/>
                              <w:szCs w:val="19"/>
                            </w:rPr>
                            <w:t>1</w:t>
                          </w:r>
                          <w:r>
                            <w:rPr>
                              <w:sz w:val="19"/>
                              <w:szCs w:val="19"/>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top:0pt;height:6.25pt;width:3.85pt;mso-position-horizontal:center;mso-position-horizontal-relative:margin;mso-wrap-style:none;z-index:251660288;mso-width-relative:page;mso-height-relative:page;" filled="f" stroked="f" coordsize="21600,21600" o:gfxdata="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wwvM10AAAAAIBAAAPAAAA&#10;AAAAAAEAIAAAACIAAABkcnMvZG93bnJldi54bWxQSwECFAAUAAAACACHTuJAuyx9NKsBAABtAwAA&#10;DgAAAAAAAAABACAAAAAfAQAAZHJzL2Uyb0RvYy54bWxQSwUGAAAAAAYABgBZAQAAPAU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19"/>
                        <w:szCs w:val="19"/>
                      </w:rPr>
                    </w:pPr>
                    <w:r>
                      <w:rPr>
                        <w:sz w:val="19"/>
                        <w:szCs w:val="19"/>
                      </w:rPr>
                      <w:fldChar w:fldCharType="begin"/>
                    </w:r>
                    <w:r>
                      <w:rPr>
                        <w:sz w:val="19"/>
                        <w:szCs w:val="19"/>
                      </w:rPr>
                      <w:instrText xml:space="preserve"> PAGE  \* MERGEFORMAT </w:instrText>
                    </w:r>
                    <w:r>
                      <w:rPr>
                        <w:sz w:val="19"/>
                        <w:szCs w:val="19"/>
                      </w:rPr>
                      <w:fldChar w:fldCharType="separate"/>
                    </w:r>
                    <w:r>
                      <w:rPr>
                        <w:sz w:val="19"/>
                        <w:szCs w:val="19"/>
                      </w:rPr>
                      <w:t>1</w:t>
                    </w:r>
                    <w:r>
                      <w:rPr>
                        <w:sz w:val="19"/>
                        <w:szCs w:val="19"/>
                      </w:rPr>
                      <w:fldChar w:fldCharType="end"/>
                    </w:r>
                  </w:p>
                </w:txbxContent>
              </v:textbox>
            </v:shape>
          </w:pict>
        </mc:Fallback>
      </mc:AlternateContent>
    </w:r>
    <w:r>
      <w:rPr>
        <w:rFonts w:hint="eastAsia" w:eastAsia="宋体"/>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4610" cy="85090"/>
              <wp:effectExtent l="0" t="0" r="0" b="0"/>
              <wp:wrapNone/>
              <wp:docPr id="3" name="Shape 3"/>
              <wp:cNvGraphicFramePr/>
              <a:graphic xmlns:a="http://schemas.openxmlformats.org/drawingml/2006/main">
                <a:graphicData uri="http://schemas.microsoft.com/office/word/2010/wordprocessingShape">
                  <wps:wsp>
                    <wps:cNvSpPr txBox="1"/>
                    <wps:spPr>
                      <a:xfrm>
                        <a:off x="0" y="0"/>
                        <a:ext cx="54610" cy="8509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top:0pt;height:6.7pt;width:4.3pt;mso-position-horizontal:center;mso-position-horizontal-relative:margin;mso-wrap-style:none;z-index:251660288;mso-width-relative:page;mso-height-relative:page;" filled="f" stroked="f" coordsize="21600,21600" o:gfxdata="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Hlc4NAAAAACAQAADwAA&#10;AAAAAAABACAAAAAiAAAAZHJzL2Rvd25yZXYueG1sUEsBAhQAFAAAAAgAh07iQCQhSF6sAQAAbQMA&#10;AA4AAAAAAAAAAQAgAAAAHwEAAGRycy9lMm9Eb2MueG1sUEsFBgAAAAAGAAYAWQEAAD0F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singleLevel"/>
    <w:tmpl w:val="0248C179"/>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1">
    <w:nsid w:val="25B654F3"/>
    <w:multiLevelType w:val="singleLevel"/>
    <w:tmpl w:val="25B654F3"/>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2">
    <w:nsid w:val="72183CF9"/>
    <w:multiLevelType w:val="singleLevel"/>
    <w:tmpl w:val="72183CF9"/>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8"/>
        <w:szCs w:val="28"/>
        <w:u w:val="none"/>
        <w:shd w:val="clear" w:color="auto" w:fill="auto"/>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20B961BA"/>
    <w:rsid w:val="238B7106"/>
    <w:rsid w:val="3FCC4826"/>
    <w:rsid w:val="598B3592"/>
    <w:rsid w:val="5E7A23D3"/>
    <w:rsid w:val="70CD796B"/>
    <w:rsid w:val="746048BB"/>
    <w:rsid w:val="76EE6504"/>
    <w:rsid w:val="7D1702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Heading #1|1_"/>
    <w:basedOn w:val="5"/>
    <w:link w:val="7"/>
    <w:qFormat/>
    <w:uiPriority w:val="0"/>
    <w:rPr>
      <w:rFonts w:ascii="宋体" w:hAnsi="宋体" w:eastAsia="宋体" w:cs="宋体"/>
      <w:color w:val="E77473"/>
      <w:sz w:val="76"/>
      <w:szCs w:val="76"/>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before="200" w:after="800"/>
      <w:outlineLvl w:val="0"/>
    </w:pPr>
    <w:rPr>
      <w:rFonts w:ascii="宋体" w:hAnsi="宋体" w:eastAsia="宋体" w:cs="宋体"/>
      <w:color w:val="E77473"/>
      <w:sz w:val="76"/>
      <w:szCs w:val="76"/>
      <w:u w:val="none"/>
      <w:shd w:val="clear" w:color="auto" w:fill="auto"/>
      <w:lang w:val="zh-TW" w:eastAsia="zh-TW" w:bidi="zh-TW"/>
    </w:rPr>
  </w:style>
  <w:style w:type="character" w:customStyle="1" w:styleId="8">
    <w:name w:val="Body text|1_"/>
    <w:basedOn w:val="5"/>
    <w:link w:val="9"/>
    <w:qFormat/>
    <w:uiPriority w:val="0"/>
    <w:rPr>
      <w:rFonts w:ascii="宋体" w:hAnsi="宋体" w:eastAsia="宋体" w:cs="宋体"/>
      <w:sz w:val="28"/>
      <w:szCs w:val="28"/>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37" w:lineRule="auto"/>
      <w:ind w:firstLine="400"/>
    </w:pPr>
    <w:rPr>
      <w:rFonts w:ascii="宋体" w:hAnsi="宋体" w:eastAsia="宋体" w:cs="宋体"/>
      <w:sz w:val="28"/>
      <w:szCs w:val="28"/>
      <w:u w:val="none"/>
      <w:shd w:val="clear" w:color="auto" w:fill="auto"/>
      <w:lang w:val="zh-TW" w:eastAsia="zh-TW" w:bidi="zh-TW"/>
    </w:rPr>
  </w:style>
  <w:style w:type="character" w:customStyle="1" w:styleId="10">
    <w:name w:val="Heading #2|1_"/>
    <w:basedOn w:val="5"/>
    <w:link w:val="11"/>
    <w:qFormat/>
    <w:uiPriority w:val="0"/>
    <w:rPr>
      <w:rFonts w:ascii="宋体" w:hAnsi="宋体" w:eastAsia="宋体" w:cs="宋体"/>
      <w:sz w:val="42"/>
      <w:szCs w:val="42"/>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after="460"/>
      <w:outlineLvl w:val="1"/>
    </w:pPr>
    <w:rPr>
      <w:rFonts w:ascii="宋体" w:hAnsi="宋体" w:eastAsia="宋体" w:cs="宋体"/>
      <w:sz w:val="42"/>
      <w:szCs w:val="42"/>
      <w:u w:val="none"/>
      <w:shd w:val="clear" w:color="auto" w:fill="auto"/>
      <w:lang w:val="zh-TW" w:eastAsia="zh-TW" w:bidi="zh-TW"/>
    </w:rPr>
  </w:style>
  <w:style w:type="character" w:customStyle="1" w:styleId="12">
    <w:name w:val="Heading #3|1_"/>
    <w:basedOn w:val="5"/>
    <w:link w:val="13"/>
    <w:qFormat/>
    <w:uiPriority w:val="0"/>
    <w:rPr>
      <w:rFonts w:ascii="宋体" w:hAnsi="宋体" w:eastAsia="宋体" w:cs="宋体"/>
      <w:b/>
      <w:bCs/>
      <w:sz w:val="28"/>
      <w:szCs w:val="28"/>
      <w:u w:val="none"/>
      <w:shd w:val="clear" w:color="auto" w:fill="auto"/>
      <w:lang w:val="zh-TW" w:eastAsia="zh-TW" w:bidi="zh-TW"/>
    </w:rPr>
  </w:style>
  <w:style w:type="paragraph" w:customStyle="1" w:styleId="13">
    <w:name w:val="Heading #3|1"/>
    <w:basedOn w:val="1"/>
    <w:link w:val="12"/>
    <w:qFormat/>
    <w:uiPriority w:val="0"/>
    <w:pPr>
      <w:widowControl w:val="0"/>
      <w:shd w:val="clear" w:color="auto" w:fill="auto"/>
      <w:spacing w:line="580" w:lineRule="exact"/>
      <w:jc w:val="center"/>
      <w:outlineLvl w:val="2"/>
    </w:pPr>
    <w:rPr>
      <w:rFonts w:ascii="宋体" w:hAnsi="宋体" w:eastAsia="宋体" w:cs="宋体"/>
      <w:b/>
      <w:bCs/>
      <w:sz w:val="28"/>
      <w:szCs w:val="28"/>
      <w:u w:val="none"/>
      <w:shd w:val="clear" w:color="auto" w:fill="auto"/>
      <w:lang w:val="zh-TW" w:eastAsia="zh-TW" w:bidi="zh-TW"/>
    </w:rPr>
  </w:style>
  <w:style w:type="character" w:customStyle="1" w:styleId="14">
    <w:name w:val="Header or footer|2_"/>
    <w:basedOn w:val="5"/>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pPr>
      <w:widowControl w:val="0"/>
      <w:shd w:val="clear" w:color="auto" w:fill="auto"/>
    </w:pPr>
    <w:rPr>
      <w:sz w:val="20"/>
      <w:szCs w:val="20"/>
      <w:u w:val="none"/>
      <w:shd w:val="clear" w:color="auto" w:fill="auto"/>
      <w:lang w:val="zh-TW" w:eastAsia="zh-TW" w:bidi="zh-TW"/>
    </w:rPr>
  </w:style>
  <w:style w:type="character" w:customStyle="1" w:styleId="16">
    <w:name w:val="Header or footer|1_"/>
    <w:basedOn w:val="5"/>
    <w:link w:val="17"/>
    <w:qFormat/>
    <w:uiPriority w:val="0"/>
    <w:rPr>
      <w:sz w:val="19"/>
      <w:szCs w:val="19"/>
      <w:u w:val="none"/>
      <w:shd w:val="clear" w:color="auto" w:fill="auto"/>
      <w:lang w:val="zh-TW" w:eastAsia="zh-TW" w:bidi="zh-TW"/>
    </w:rPr>
  </w:style>
  <w:style w:type="paragraph" w:customStyle="1" w:styleId="17">
    <w:name w:val="Header or footer|1"/>
    <w:basedOn w:val="1"/>
    <w:link w:val="16"/>
    <w:qFormat/>
    <w:uiPriority w:val="0"/>
    <w:pPr>
      <w:widowControl w:val="0"/>
      <w:shd w:val="clear" w:color="auto" w:fill="auto"/>
    </w:pPr>
    <w:rPr>
      <w:sz w:val="19"/>
      <w:szCs w:val="19"/>
      <w:u w:val="none"/>
      <w:shd w:val="clear" w:color="auto" w:fill="auto"/>
      <w:lang w:val="zh-TW" w:eastAsia="zh-TW" w:bidi="zh-TW"/>
    </w:rPr>
  </w:style>
  <w:style w:type="character" w:customStyle="1" w:styleId="18">
    <w:name w:val="Body text|3_"/>
    <w:basedOn w:val="5"/>
    <w:link w:val="19"/>
    <w:qFormat/>
    <w:uiPriority w:val="0"/>
    <w:rPr>
      <w:color w:val="E77473"/>
      <w:sz w:val="34"/>
      <w:szCs w:val="34"/>
      <w:u w:val="none"/>
      <w:shd w:val="clear" w:color="auto" w:fill="auto"/>
      <w:lang w:val="zh-TW" w:eastAsia="zh-TW" w:bidi="zh-TW"/>
    </w:rPr>
  </w:style>
  <w:style w:type="paragraph" w:customStyle="1" w:styleId="19">
    <w:name w:val="Body text|3"/>
    <w:basedOn w:val="1"/>
    <w:link w:val="18"/>
    <w:qFormat/>
    <w:uiPriority w:val="0"/>
    <w:pPr>
      <w:widowControl w:val="0"/>
      <w:shd w:val="clear" w:color="auto" w:fill="auto"/>
      <w:spacing w:line="180" w:lineRule="auto"/>
      <w:ind w:left="1060"/>
    </w:pPr>
    <w:rPr>
      <w:color w:val="E77473"/>
      <w:sz w:val="34"/>
      <w:szCs w:val="34"/>
      <w:u w:val="none"/>
      <w:shd w:val="clear" w:color="auto" w:fill="auto"/>
      <w:lang w:val="zh-TW" w:eastAsia="zh-TW" w:bidi="zh-TW"/>
    </w:rPr>
  </w:style>
  <w:style w:type="character" w:customStyle="1" w:styleId="20">
    <w:name w:val="Body text|2_"/>
    <w:basedOn w:val="5"/>
    <w:link w:val="21"/>
    <w:qFormat/>
    <w:uiPriority w:val="0"/>
    <w:rPr>
      <w:rFonts w:ascii="宋体" w:hAnsi="宋体" w:eastAsia="宋体" w:cs="宋体"/>
      <w:sz w:val="32"/>
      <w:szCs w:val="32"/>
      <w:u w:val="none"/>
      <w:shd w:val="clear" w:color="auto" w:fill="auto"/>
      <w:lang w:val="zh-TW" w:eastAsia="zh-TW" w:bidi="zh-TW"/>
    </w:rPr>
  </w:style>
  <w:style w:type="paragraph" w:customStyle="1" w:styleId="21">
    <w:name w:val="Body text|2"/>
    <w:basedOn w:val="1"/>
    <w:link w:val="20"/>
    <w:qFormat/>
    <w:uiPriority w:val="0"/>
    <w:pPr>
      <w:widowControl w:val="0"/>
      <w:shd w:val="clear" w:color="auto" w:fill="auto"/>
      <w:spacing w:after="560" w:line="542" w:lineRule="exact"/>
      <w:jc w:val="center"/>
    </w:pPr>
    <w:rPr>
      <w:rFonts w:ascii="宋体" w:hAnsi="宋体" w:eastAsia="宋体" w:cs="宋体"/>
      <w:sz w:val="32"/>
      <w:szCs w:val="32"/>
      <w:u w:val="none"/>
      <w:shd w:val="clear" w:color="auto" w:fill="auto"/>
      <w:lang w:val="zh-TW" w:eastAsia="zh-TW" w:bidi="zh-TW"/>
    </w:rPr>
  </w:style>
  <w:style w:type="character" w:customStyle="1" w:styleId="22">
    <w:name w:val="Other|1_"/>
    <w:basedOn w:val="5"/>
    <w:link w:val="23"/>
    <w:uiPriority w:val="0"/>
    <w:rPr>
      <w:rFonts w:ascii="宋体" w:hAnsi="宋体" w:eastAsia="宋体" w:cs="宋体"/>
      <w:sz w:val="28"/>
      <w:szCs w:val="28"/>
      <w:u w:val="none"/>
      <w:shd w:val="clear" w:color="auto" w:fill="auto"/>
      <w:lang w:val="zh-TW" w:eastAsia="zh-TW" w:bidi="zh-TW"/>
    </w:rPr>
  </w:style>
  <w:style w:type="paragraph" w:customStyle="1" w:styleId="23">
    <w:name w:val="Other|1"/>
    <w:basedOn w:val="1"/>
    <w:link w:val="22"/>
    <w:qFormat/>
    <w:uiPriority w:val="0"/>
    <w:pPr>
      <w:widowControl w:val="0"/>
      <w:shd w:val="clear" w:color="auto" w:fill="auto"/>
      <w:spacing w:line="437"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2021-10-31T07:26:00Z</dcterms:created>
  <dc:creator>lenovo</dc:creator>
  <cp:lastModifiedBy>木</cp:lastModifiedBy>
  <dcterms:modified xsi:type="dcterms:W3CDTF">2021-12-02T08:25:24Z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54C1CBCD66024B85BC83968A889E36BA</vt:lpwstr>
  </property>
</Properties>
</file>