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/>
          <w:b/>
          <w:sz w:val="36"/>
          <w:szCs w:val="36"/>
        </w:rPr>
      </w:pPr>
      <w:r>
        <w:rPr>
          <w:rFonts w:hint="eastAsia" w:ascii="华文细黑" w:hAnsi="华文细黑" w:eastAsia="华文细黑"/>
          <w:b/>
          <w:sz w:val="36"/>
          <w:szCs w:val="36"/>
        </w:rPr>
        <w:t>美术与设计学院本科生转专业工作实施方案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为充分调动和发挥学生学习的主动性和积极性，根据《湖南女子学院普通全日制学生转专业管理办法</w:t>
      </w:r>
      <w:r>
        <w:rPr>
          <w:rFonts w:hint="eastAsia" w:ascii="Calibri" w:hAnsi="Calibri" w:eastAsia="宋体" w:cs="Times New Roman"/>
          <w:sz w:val="28"/>
          <w:szCs w:val="28"/>
        </w:rPr>
        <w:t>》</w:t>
      </w:r>
      <w:bookmarkStart w:id="0" w:name="Fwbh"/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Times New Roman"/>
          <w:sz w:val="28"/>
          <w:szCs w:val="28"/>
        </w:rPr>
        <w:t>湘女院通字〔2017〕123号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）</w:t>
      </w:r>
      <w:bookmarkEnd w:id="0"/>
      <w:r>
        <w:rPr>
          <w:rFonts w:hint="eastAsia" w:ascii="Calibri" w:hAnsi="Calibri" w:eastAsia="宋体" w:cs="Times New Roman"/>
          <w:sz w:val="28"/>
          <w:szCs w:val="28"/>
        </w:rPr>
        <w:t>《关于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做好</w:t>
      </w:r>
      <w:r>
        <w:rPr>
          <w:rFonts w:hint="eastAsia" w:ascii="Calibri" w:hAnsi="Calibri" w:eastAsia="宋体" w:cs="Times New Roman"/>
          <w:sz w:val="28"/>
          <w:szCs w:val="28"/>
        </w:rPr>
        <w:t>20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-</w:t>
      </w:r>
      <w:r>
        <w:rPr>
          <w:rFonts w:hint="eastAsia" w:ascii="Calibri" w:hAnsi="Calibri" w:eastAsia="宋体" w:cs="Times New Roman"/>
          <w:sz w:val="28"/>
          <w:szCs w:val="28"/>
        </w:rPr>
        <w:t>202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学年第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二</w:t>
      </w:r>
      <w:r>
        <w:rPr>
          <w:rFonts w:hint="eastAsia" w:ascii="Calibri" w:hAnsi="Calibri" w:eastAsia="宋体" w:cs="Times New Roman"/>
          <w:sz w:val="28"/>
          <w:szCs w:val="28"/>
        </w:rPr>
        <w:t>学期转专业工作的通</w:t>
      </w:r>
      <w:r>
        <w:rPr>
          <w:rFonts w:hint="eastAsia"/>
          <w:sz w:val="28"/>
          <w:szCs w:val="28"/>
        </w:rPr>
        <w:t>知》及学校相关文件精神，结合美术与设计学院实际，经党政联席会议研究，特制订</w:t>
      </w:r>
      <w:r>
        <w:rPr>
          <w:rFonts w:hint="eastAsia" w:ascii="Calibri" w:hAnsi="Calibri" w:eastAsia="宋体" w:cs="Times New Roman"/>
          <w:sz w:val="28"/>
          <w:szCs w:val="28"/>
        </w:rPr>
        <w:t>20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-</w:t>
      </w:r>
      <w:r>
        <w:rPr>
          <w:rFonts w:hint="eastAsia" w:ascii="Calibri" w:hAnsi="Calibri" w:eastAsia="宋体" w:cs="Times New Roman"/>
          <w:sz w:val="28"/>
          <w:szCs w:val="28"/>
        </w:rPr>
        <w:t>202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学年第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二</w:t>
      </w:r>
      <w:r>
        <w:rPr>
          <w:rFonts w:hint="eastAsia" w:ascii="Calibri" w:hAnsi="Calibri" w:eastAsia="宋体" w:cs="Times New Roman"/>
          <w:sz w:val="28"/>
          <w:szCs w:val="28"/>
        </w:rPr>
        <w:t>学期</w:t>
      </w:r>
      <w:r>
        <w:rPr>
          <w:rFonts w:hint="eastAsia"/>
          <w:sz w:val="28"/>
          <w:szCs w:val="28"/>
        </w:rPr>
        <w:t>转专业工作实施方案如下：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default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</w:rPr>
        <w:t>申请转专业条件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default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具备以下条件之一者，可以提出转专业的申请： </w:t>
      </w:r>
    </w:p>
    <w:p>
      <w:pPr>
        <w:spacing w:line="480" w:lineRule="exact"/>
        <w:ind w:firstLine="420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（一）转专业学生应经本人申请，转出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学院</w:t>
      </w:r>
      <w:r>
        <w:rPr>
          <w:rFonts w:hint="eastAsia" w:ascii="Calibri" w:hAnsi="Calibri" w:eastAsia="宋体" w:cs="Times New Roman"/>
          <w:sz w:val="28"/>
          <w:szCs w:val="28"/>
        </w:rPr>
        <w:t>审核同意、转入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学院</w:t>
      </w:r>
      <w:r>
        <w:rPr>
          <w:rFonts w:hint="eastAsia" w:ascii="Calibri" w:hAnsi="Calibri" w:eastAsia="宋体" w:cs="Times New Roman"/>
          <w:sz w:val="28"/>
          <w:szCs w:val="28"/>
        </w:rPr>
        <w:t>考核同意，学校审批。原则上一年级平级转，二年级降级转。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）学生在学习期间对某一学科方面有特长，且在拟转入专业或专业大类的学科领域取得下列成绩之一的：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（1）在省级及以上教育行政主管部门举办的学科竞赛中获奖（省级一、二、三等奖，国家级优秀奖及以上）。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（2）在省级及以上正式期刊以第一作者身份正式发表专业论文（需提供期刊原件，不含会议论文）。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（3）以成果第一完成人身份在省级及以上正式刊物发表作品（或全国性、国际作品展中展览作品）。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（4）在相关专业领域自主创业、成立技术公司，并取得经济效益和社会效益。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）学生已修课程学习成绩在本年级本专业排名前50%且没有不及格的科目者；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）有下列特殊情况，经学校批准，可以转专业：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（1）因身体有某种疾病或生理缺陷（不含隐瞒既往病史入学者）等身体健康特殊原因，不能在原专业学习，但在上级和学院政策允许的范围内，尚能在本院其他专业学习者。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（2）学生休学、保留入学资格或退役后复学，因特殊原因或学校已无学生原所学专业或无原录取专业者。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）学院或所在院部根据需要调整专业时，学生也可提出转专业要求。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有下列情况之一者，不予转专业：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（一）本科三年级（含三年级）以上的学生；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（二）从外校转入我校的学生；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（三）专科升入本科的学生；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（四）在校期间已转过专业的学生；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（五）正在休学、保留学籍的学生或其他情况转入下一年级的学生；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（六）已达到退学条件的学生；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（七）有违规违纪记录未解除的学生；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（八）艺术类、体育类等特殊专业不能与其它普通专业互转，文、理科专业原则上不得互转（文理兼招专业除外）；招生时确定为定向、委托培养的或属于提前批招生专业（以当年招生计划为准，下同）的学生。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（九）无正当理由的学生；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（十）上级主管部门相关文件规定不予转专业的学生。</w:t>
      </w:r>
    </w:p>
    <w:p>
      <w:pPr>
        <w:spacing w:line="480" w:lineRule="exact"/>
        <w:ind w:firstLine="560" w:firstLineChars="200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二、转专业流程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1、转出：学生本人提出申请，提交到辅导员处进行资格审查， 审核后由</w:t>
      </w:r>
      <w:r>
        <w:rPr>
          <w:rFonts w:hint="eastAsia"/>
          <w:sz w:val="28"/>
          <w:szCs w:val="28"/>
          <w:lang w:val="en-US" w:eastAsia="zh-CN"/>
        </w:rPr>
        <w:t>院党</w:t>
      </w:r>
      <w:r>
        <w:rPr>
          <w:rFonts w:hint="eastAsia"/>
          <w:sz w:val="28"/>
          <w:szCs w:val="28"/>
        </w:rPr>
        <w:t>总支书记、</w:t>
      </w:r>
      <w:r>
        <w:rPr>
          <w:rFonts w:hint="eastAsia"/>
          <w:sz w:val="28"/>
          <w:szCs w:val="28"/>
          <w:lang w:val="en-US" w:eastAsia="zh-CN"/>
        </w:rPr>
        <w:t>院长</w:t>
      </w:r>
      <w:r>
        <w:rPr>
          <w:rFonts w:hint="eastAsia"/>
          <w:sz w:val="28"/>
          <w:szCs w:val="28"/>
        </w:rPr>
        <w:t>签批后上报教务处。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2、转入：转入学生向本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提出申请，本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进行资格审查；通知申请转入学生审查结果；组织资格审查合格学生进行笔试、综合面试；将转入学生录取结果上报教务处进行。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方正黑体简体" w:eastAsia="方正黑体简体"/>
          <w:b w:val="0"/>
          <w:sz w:val="28"/>
          <w:szCs w:val="28"/>
        </w:rPr>
      </w:pPr>
      <w:r>
        <w:rPr>
          <w:rFonts w:hint="eastAsia" w:ascii="方正黑体简体" w:eastAsia="方正黑体简体"/>
          <w:b w:val="0"/>
          <w:sz w:val="28"/>
          <w:szCs w:val="28"/>
        </w:rPr>
        <w:t>三、接收转专业的考核办法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面试与笔试相结合，面试及笔试成绩各占50%，具体考核内容如下：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服装与服饰设计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服装创意草图表现</w:t>
            </w:r>
          </w:p>
        </w:tc>
        <w:tc>
          <w:tcPr>
            <w:tcW w:w="38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突出对学生思想品质、学习态度、专业兴趣与特长、心理素质和综合素养的考查。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视觉传达设计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创意草图表现</w:t>
            </w:r>
          </w:p>
        </w:tc>
        <w:tc>
          <w:tcPr>
            <w:tcW w:w="3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素描（石膏）</w:t>
            </w:r>
          </w:p>
        </w:tc>
        <w:tc>
          <w:tcPr>
            <w:tcW w:w="3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产品设计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创意草图表现</w:t>
            </w:r>
            <w:bookmarkStart w:id="1" w:name="_GoBack"/>
            <w:bookmarkEnd w:id="1"/>
          </w:p>
        </w:tc>
        <w:tc>
          <w:tcPr>
            <w:tcW w:w="3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四、工作流程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1、转专业申请时间：20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3日</w:t>
      </w:r>
      <w:r>
        <w:rPr>
          <w:rFonts w:hint="eastAsia"/>
          <w:sz w:val="28"/>
          <w:szCs w:val="28"/>
        </w:rPr>
        <w:t>～202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Times New Roman" w:hAnsi="Times New Roman" w:eastAsia="宋体" w:cs="Times New Roman"/>
          <w:sz w:val="28"/>
          <w:szCs w:val="28"/>
        </w:rPr>
        <w:t>专业调整申请表</w:t>
      </w:r>
      <w:r>
        <w:rPr>
          <w:rFonts w:hint="eastAsia"/>
          <w:sz w:val="28"/>
          <w:szCs w:val="28"/>
        </w:rPr>
        <w:t>提交地点：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乐学楼307（美术与设计学院教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务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办公室）</w:t>
      </w:r>
      <w:r>
        <w:rPr>
          <w:rFonts w:hint="eastAsia"/>
          <w:sz w:val="28"/>
          <w:szCs w:val="28"/>
        </w:rPr>
        <w:t> （9：00～17：00）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、院部考核：</w:t>
      </w:r>
      <w:r>
        <w:rPr>
          <w:rFonts w:hint="eastAsia"/>
          <w:sz w:val="28"/>
          <w:szCs w:val="28"/>
          <w:lang w:val="en-US" w:eastAsia="zh-CN"/>
        </w:rPr>
        <w:t>2022-2023学年第二学期第二周</w:t>
      </w:r>
      <w:r>
        <w:rPr>
          <w:rFonts w:hint="eastAsia"/>
          <w:sz w:val="28"/>
          <w:szCs w:val="28"/>
        </w:rPr>
        <w:t>，具体考核时间、地点请听另行安排通知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、结果上报：</w:t>
      </w:r>
      <w:r>
        <w:rPr>
          <w:rFonts w:hint="eastAsia"/>
          <w:sz w:val="28"/>
          <w:szCs w:val="28"/>
          <w:lang w:val="en-US" w:eastAsia="zh-CN"/>
        </w:rPr>
        <w:t>2022-2023学年第二学期开学第三周</w:t>
      </w:r>
      <w:r>
        <w:rPr>
          <w:rFonts w:hint="eastAsia"/>
          <w:sz w:val="28"/>
          <w:szCs w:val="28"/>
        </w:rPr>
        <w:t>院部将拟转专业学生名单及相关材料上报学校教务处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6、学校审批：</w:t>
      </w:r>
      <w:r>
        <w:rPr>
          <w:rFonts w:hint="eastAsia"/>
          <w:sz w:val="28"/>
          <w:szCs w:val="28"/>
          <w:lang w:val="en-US" w:eastAsia="zh-CN"/>
        </w:rPr>
        <w:t>2022-2023学年第二学期开学第四周</w:t>
      </w:r>
      <w:r>
        <w:rPr>
          <w:rFonts w:hint="eastAsia"/>
          <w:sz w:val="28"/>
          <w:szCs w:val="28"/>
        </w:rPr>
        <w:t>学校对院部提交的转专业学生名单及相关材料进行复核审批，将复审合格的学生材料汇总后上报学校的相关会议，会议通过后再发文。</w:t>
      </w:r>
    </w:p>
    <w:p>
      <w:pPr>
        <w:spacing w:line="480" w:lineRule="exact"/>
        <w:ind w:firstLine="560" w:firstLineChars="2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五、组织机构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院部成立转专业工作领导小组，负责转专业全过程的组织管理与监控。</w:t>
      </w:r>
    </w:p>
    <w:p>
      <w:pPr>
        <w:spacing w:line="480" w:lineRule="exact"/>
        <w:ind w:firstLine="42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组长：李伟、</w:t>
      </w:r>
      <w:r>
        <w:rPr>
          <w:rFonts w:hint="eastAsia"/>
          <w:sz w:val="28"/>
          <w:szCs w:val="28"/>
          <w:lang w:val="en-US" w:eastAsia="zh-CN"/>
        </w:rPr>
        <w:t>昌晓英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副组长：易中华、</w:t>
      </w:r>
      <w:r>
        <w:rPr>
          <w:rFonts w:hint="eastAsia"/>
          <w:sz w:val="28"/>
          <w:szCs w:val="28"/>
          <w:lang w:val="en-US" w:eastAsia="zh-CN"/>
        </w:rPr>
        <w:t>岳蓉</w:t>
      </w:r>
    </w:p>
    <w:p>
      <w:pPr>
        <w:spacing w:line="480" w:lineRule="exact"/>
        <w:ind w:firstLine="42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成员：廖珍、</w:t>
      </w:r>
      <w:r>
        <w:rPr>
          <w:rFonts w:hint="eastAsia"/>
          <w:sz w:val="28"/>
          <w:szCs w:val="28"/>
          <w:lang w:val="en-US" w:eastAsia="zh-CN"/>
        </w:rPr>
        <w:t>周利群、</w:t>
      </w:r>
      <w:r>
        <w:rPr>
          <w:rFonts w:hint="eastAsia"/>
          <w:sz w:val="28"/>
          <w:szCs w:val="28"/>
        </w:rPr>
        <w:t>沈名杰、李俊、黄雯莉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刘星彤</w:t>
      </w:r>
    </w:p>
    <w:p>
      <w:pPr>
        <w:spacing w:line="480" w:lineRule="exact"/>
        <w:ind w:firstLine="560" w:firstLineChars="2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六、其他说明</w:t>
      </w:r>
    </w:p>
    <w:p>
      <w:pPr>
        <w:spacing w:line="480" w:lineRule="exact"/>
        <w:ind w:firstLine="544" w:firstLineChars="200"/>
        <w:rPr>
          <w:rFonts w:hint="eastAsia" w:ascii="宋体" w:hAnsi="宋体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美术与设计学院所有开设专业均为艺术（美术）类，不存在跨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转出转入问题，不确定接收计划指标数，不开展二次选拔工作。</w:t>
      </w:r>
    </w:p>
    <w:p>
      <w:pPr>
        <w:spacing w:line="480" w:lineRule="exact"/>
        <w:ind w:firstLine="544" w:firstLineChars="200"/>
        <w:rPr>
          <w:rFonts w:hint="eastAsia"/>
        </w:rPr>
      </w:pP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如有不清楚事宜，请打（0731）82825079到美术与设计学院教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务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办公室咨询。美术与设计学院接受投诉的联系电话0731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82825090。</w:t>
      </w:r>
    </w:p>
    <w:p>
      <w:pPr>
        <w:spacing w:line="480" w:lineRule="exact"/>
        <w:rPr>
          <w:rFonts w:hint="eastAsia"/>
        </w:rPr>
      </w:pPr>
    </w:p>
    <w:p>
      <w:pPr>
        <w:spacing w:line="480" w:lineRule="exact"/>
        <w:ind w:firstLine="5984" w:firstLineChars="2200"/>
        <w:rPr>
          <w:rFonts w:hint="eastAsia" w:ascii="宋体" w:hAnsi="宋体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美术与设计学院</w:t>
      </w:r>
    </w:p>
    <w:p>
      <w:pPr>
        <w:spacing w:line="480" w:lineRule="exact"/>
        <w:ind w:firstLine="5984" w:firstLineChars="2200"/>
        <w:rPr>
          <w:rFonts w:hint="eastAsia" w:ascii="宋体" w:hAnsi="宋体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20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湖南女子学院学生专业调整申请表</w:t>
      </w:r>
    </w:p>
    <w:p>
      <w:pPr>
        <w:jc w:val="center"/>
        <w:rPr>
          <w:rFonts w:ascii="Calibri" w:hAnsi="Calibri" w:eastAsia="华文中宋" w:cs="Times New Roman"/>
          <w:color w:val="000000"/>
          <w:sz w:val="10"/>
          <w:szCs w:val="10"/>
        </w:rPr>
      </w:pPr>
    </w:p>
    <w:p>
      <w:pPr>
        <w:spacing w:after="156" w:afterLines="50"/>
        <w:ind w:right="-178" w:rightChars="-85"/>
        <w:rPr>
          <w:rFonts w:ascii="Calibri" w:hAnsi="Calibri" w:eastAsia="宋体" w:cs="Times New Roman"/>
          <w:color w:val="000000"/>
        </w:rPr>
      </w:pPr>
      <w:r>
        <w:rPr>
          <w:rFonts w:hint="eastAsia" w:ascii="Calibri" w:hAnsi="Calibri" w:eastAsia="宋体" w:cs="Times New Roman"/>
          <w:color w:val="000000"/>
        </w:rPr>
        <w:t>学号：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      </w:t>
      </w:r>
      <w:r>
        <w:rPr>
          <w:rFonts w:hint="eastAsia" w:ascii="Calibri" w:hAnsi="Calibri" w:eastAsia="宋体" w:cs="Times New Roman"/>
          <w:color w:val="000000"/>
        </w:rPr>
        <w:t xml:space="preserve"> 姓名：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     </w:t>
      </w:r>
      <w:r>
        <w:rPr>
          <w:rFonts w:hint="eastAsia" w:ascii="Calibri" w:hAnsi="Calibri" w:eastAsia="宋体" w:cs="Times New Roman"/>
          <w:color w:val="000000"/>
        </w:rPr>
        <w:t xml:space="preserve"> 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    </w:t>
      </w:r>
      <w:r>
        <w:rPr>
          <w:rFonts w:hint="eastAsia" w:ascii="Calibri" w:hAnsi="Calibri" w:eastAsia="宋体" w:cs="Times New Roman"/>
          <w:color w:val="000000"/>
        </w:rPr>
        <w:t>学院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       </w:t>
      </w:r>
      <w:r>
        <w:rPr>
          <w:rFonts w:hint="eastAsia" w:ascii="Calibri" w:hAnsi="Calibri" w:eastAsia="宋体" w:cs="Times New Roman"/>
          <w:color w:val="000000"/>
        </w:rPr>
        <w:t>专业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</w:t>
      </w:r>
      <w:r>
        <w:rPr>
          <w:rFonts w:hint="eastAsia" w:ascii="Calibri" w:hAnsi="Calibri" w:eastAsia="宋体" w:cs="Times New Roman"/>
          <w:color w:val="000000"/>
        </w:rPr>
        <w:t>年级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</w:t>
      </w:r>
      <w:r>
        <w:rPr>
          <w:rFonts w:hint="eastAsia" w:ascii="Calibri" w:hAnsi="Calibri" w:eastAsia="宋体" w:cs="Times New Roman"/>
          <w:color w:val="000000"/>
          <w:u w:val="single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</w:t>
      </w:r>
      <w:r>
        <w:rPr>
          <w:rFonts w:hint="eastAsia" w:ascii="Calibri" w:hAnsi="Calibri" w:eastAsia="宋体" w:cs="Times New Roman"/>
          <w:color w:val="000000"/>
        </w:rPr>
        <w:t xml:space="preserve">班          </w:t>
      </w:r>
    </w:p>
    <w:tbl>
      <w:tblPr>
        <w:tblStyle w:val="6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708"/>
        <w:gridCol w:w="1079"/>
        <w:gridCol w:w="1159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在本专业学习时间</w:t>
            </w:r>
          </w:p>
        </w:tc>
        <w:tc>
          <w:tcPr>
            <w:tcW w:w="7643" w:type="dxa"/>
            <w:gridSpan w:val="4"/>
            <w:noWrap w:val="0"/>
            <w:vAlign w:val="center"/>
          </w:tcPr>
          <w:p>
            <w:pPr>
              <w:ind w:right="840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年　　　　月　　　　日　至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申请</w:t>
            </w:r>
            <w:r>
              <w:rPr>
                <w:rFonts w:hint="eastAsia" w:ascii="Calibri" w:hAnsi="Calibri" w:eastAsia="宋体" w:cs="Times New Roman"/>
                <w:color w:val="000000"/>
              </w:rPr>
              <w:t>转入专业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ind w:right="84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lang w:val="en-US" w:eastAsia="zh-CN"/>
              </w:rPr>
              <w:t>现专业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lang w:val="en-US" w:eastAsia="zh-CN"/>
              </w:rPr>
              <w:t>平均学分绩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排名/专业总人数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   ）/(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申请专业调整理由</w:t>
            </w:r>
          </w:p>
        </w:tc>
        <w:tc>
          <w:tcPr>
            <w:tcW w:w="7643" w:type="dxa"/>
            <w:gridSpan w:val="4"/>
            <w:noWrap w:val="0"/>
            <w:vAlign w:val="center"/>
          </w:tcPr>
          <w:p>
            <w:pPr>
              <w:ind w:right="360"/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ind w:right="360"/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360"/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ind w:right="360"/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ind w:right="360"/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ind w:right="360"/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ind w:right="360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申请人签字：　　　　　家长签字：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辅导员审核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情况（在校表现情况）</w:t>
            </w:r>
          </w:p>
        </w:tc>
        <w:tc>
          <w:tcPr>
            <w:tcW w:w="7643" w:type="dxa"/>
            <w:gridSpan w:val="4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签字：　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eastAsia="zh-CN"/>
              </w:rPr>
              <w:t>拟转出</w:t>
            </w:r>
            <w:r>
              <w:rPr>
                <w:rFonts w:hint="eastAsia" w:ascii="Calibri" w:hAnsi="Calibri" w:eastAsia="宋体" w:cs="Times New Roman"/>
                <w:color w:val="000000"/>
              </w:rPr>
              <w:t>学院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意 见</w:t>
            </w:r>
          </w:p>
        </w:tc>
        <w:tc>
          <w:tcPr>
            <w:tcW w:w="3787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书记签字(公章)：      </w:t>
            </w:r>
          </w:p>
          <w:p>
            <w:pPr>
              <w:jc w:val="righ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           年　  月　  日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院长签字(公章)：                  </w:t>
            </w:r>
          </w:p>
          <w:p>
            <w:pPr>
              <w:jc w:val="righ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eastAsia="zh-CN"/>
              </w:rPr>
              <w:t>拟</w:t>
            </w:r>
            <w:r>
              <w:rPr>
                <w:rFonts w:hint="eastAsia" w:ascii="Calibri" w:hAnsi="Calibri" w:eastAsia="宋体" w:cs="Times New Roman"/>
                <w:color w:val="000000"/>
              </w:rPr>
              <w:t>转入学院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意 见</w:t>
            </w:r>
          </w:p>
        </w:tc>
        <w:tc>
          <w:tcPr>
            <w:tcW w:w="3787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书记签字(公章)：      </w:t>
            </w:r>
          </w:p>
          <w:p>
            <w:pPr>
              <w:jc w:val="righ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           年　  月　  日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000000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院长签字(公章)：                  </w:t>
            </w:r>
          </w:p>
          <w:p>
            <w:pPr>
              <w:jc w:val="righ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年   月    日</w:t>
            </w:r>
          </w:p>
        </w:tc>
      </w:tr>
    </w:tbl>
    <w:p>
      <w:pPr>
        <w:rPr>
          <w:rFonts w:ascii="Calibri" w:hAnsi="Calibri" w:eastAsia="仿宋_GB2312" w:cs="Times New Roman"/>
          <w:color w:val="auto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633" w:bottom="1440" w:left="1633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 w:cs="Times New Roman"/>
          <w:color w:val="auto"/>
          <w:sz w:val="28"/>
          <w:szCs w:val="28"/>
        </w:rPr>
        <w:t>注：本表</w:t>
      </w:r>
      <w:r>
        <w:rPr>
          <w:rFonts w:hint="eastAsia" w:ascii="Calibri" w:hAnsi="Calibri" w:eastAsia="仿宋_GB2312" w:cs="Times New Roman"/>
          <w:color w:val="auto"/>
          <w:sz w:val="28"/>
          <w:szCs w:val="28"/>
          <w:lang w:val="en-US" w:eastAsia="zh-CN"/>
        </w:rPr>
        <w:t>及相关材料</w:t>
      </w:r>
      <w:r>
        <w:rPr>
          <w:rFonts w:hint="eastAsia" w:ascii="Calibri" w:hAnsi="Calibri" w:eastAsia="仿宋_GB2312" w:cs="Times New Roman"/>
          <w:color w:val="auto"/>
          <w:sz w:val="28"/>
          <w:szCs w:val="28"/>
        </w:rPr>
        <w:t>一式</w:t>
      </w:r>
      <w:r>
        <w:rPr>
          <w:rFonts w:hint="eastAsia" w:ascii="Calibri" w:hAnsi="Calibri" w:eastAsia="仿宋_GB2312" w:cs="Times New Roman"/>
          <w:color w:val="auto"/>
          <w:sz w:val="28"/>
          <w:szCs w:val="28"/>
          <w:lang w:val="en-US" w:eastAsia="zh-CN"/>
        </w:rPr>
        <w:t>二</w:t>
      </w:r>
      <w:r>
        <w:rPr>
          <w:rFonts w:hint="eastAsia" w:ascii="Calibri" w:hAnsi="Calibri" w:eastAsia="仿宋_GB2312" w:cs="Times New Roman"/>
          <w:color w:val="auto"/>
          <w:sz w:val="28"/>
          <w:szCs w:val="28"/>
        </w:rPr>
        <w:t>份，转出、转入学院各一份存档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湖南女子学院专业调整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拟转出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学院： </w:t>
      </w:r>
    </w:p>
    <w:tbl>
      <w:tblPr>
        <w:tblStyle w:val="6"/>
        <w:tblW w:w="13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18"/>
        <w:gridCol w:w="1036"/>
        <w:gridCol w:w="814"/>
        <w:gridCol w:w="1715"/>
        <w:gridCol w:w="1868"/>
        <w:gridCol w:w="1140"/>
        <w:gridCol w:w="1290"/>
        <w:gridCol w:w="187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转出专业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现专业平均学分绩排名/专业总人数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转入专业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符合转专业办法规定的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具体条件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1.“符合转专业办法规定的具体条件”栏按审核情况填写，如“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学科竞赛获省级三等奖,或省级期刊发表论文；或专业排名前50%且没有不及格科目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”等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2.此表纸质版、电子版及相关证明材料纸质版交至教务处学籍科。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填表人：                             </w:t>
      </w:r>
      <w: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签字（公章）：</w:t>
      </w:r>
    </w:p>
    <w:p>
      <w:pPr>
        <w:jc w:val="right"/>
        <w:rPr>
          <w:rFonts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        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jc w:val="right"/>
        <w:textAlignment w:val="auto"/>
        <w:rPr>
          <w:rFonts w:hint="eastAsia"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年   月   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Calibri" w:hAnsi="Calibri" w:eastAsia="仿宋_GB2312" w:cs="Times New Roman"/>
          <w:color w:val="000000"/>
          <w:sz w:val="28"/>
          <w:szCs w:val="28"/>
        </w:rPr>
        <w:sectPr>
          <w:footerReference r:id="rId5" w:type="default"/>
          <w:pgSz w:w="16838" w:h="11906" w:orient="landscape"/>
          <w:pgMar w:top="1247" w:right="1440" w:bottom="1247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湖南女子学院专业调整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拟转入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转入学院： </w:t>
      </w:r>
    </w:p>
    <w:tbl>
      <w:tblPr>
        <w:tblStyle w:val="6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37"/>
        <w:gridCol w:w="1050"/>
        <w:gridCol w:w="825"/>
        <w:gridCol w:w="1738"/>
        <w:gridCol w:w="850"/>
        <w:gridCol w:w="1737"/>
        <w:gridCol w:w="1313"/>
        <w:gridCol w:w="1808"/>
        <w:gridCol w:w="133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转出专业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转入年级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转入专业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拟编入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符合转专业办法规定的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具体条件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综合评定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1.“符合转专业办法规定的具体条件”栏按审核情况填写，如“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学科竞赛获省级三等奖,或省级期刊发表论文；或专业排名前50%且没有不及格科目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”等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2.此表纸质版和电子版交至教务处学籍科。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填表人：                              </w:t>
      </w:r>
      <w: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签字（公章）：</w:t>
      </w:r>
    </w:p>
    <w:p>
      <w:pPr>
        <w:jc w:val="right"/>
        <w:rPr>
          <w:rFonts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                                    </w:t>
      </w:r>
    </w:p>
    <w:p>
      <w:pPr>
        <w:ind w:right="560"/>
        <w:jc w:val="right"/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年   月   日</w:t>
      </w:r>
    </w:p>
    <w:sectPr>
      <w:footerReference r:id="rId6" w:type="default"/>
      <w:pgSz w:w="16838" w:h="11906" w:orient="landscape"/>
      <w:pgMar w:top="1247" w:right="1440" w:bottom="124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</w:t>
    </w:r>
    <w:r>
      <w:rPr>
        <w:rStyle w:val="8"/>
      </w:rP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C3585"/>
    <w:multiLevelType w:val="singleLevel"/>
    <w:tmpl w:val="37AC35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TViZTIwMDRiNWYyN2UzNzIwNTI2YTE2YTA5ZWIifQ=="/>
  </w:docVars>
  <w:rsids>
    <w:rsidRoot w:val="664743A7"/>
    <w:rsid w:val="011E5366"/>
    <w:rsid w:val="09AF1D55"/>
    <w:rsid w:val="0A1E75C3"/>
    <w:rsid w:val="0A640A93"/>
    <w:rsid w:val="0ED62777"/>
    <w:rsid w:val="1A8C2FFC"/>
    <w:rsid w:val="1CA7095A"/>
    <w:rsid w:val="20B07AFC"/>
    <w:rsid w:val="2908648D"/>
    <w:rsid w:val="2EA33BDB"/>
    <w:rsid w:val="31931A20"/>
    <w:rsid w:val="34644F5F"/>
    <w:rsid w:val="3F7B2F92"/>
    <w:rsid w:val="46772406"/>
    <w:rsid w:val="504A0F29"/>
    <w:rsid w:val="50825428"/>
    <w:rsid w:val="53097F79"/>
    <w:rsid w:val="5A87203E"/>
    <w:rsid w:val="5B4779A9"/>
    <w:rsid w:val="664743A7"/>
    <w:rsid w:val="66AC5D6E"/>
    <w:rsid w:val="6C3867D3"/>
    <w:rsid w:val="70F4178D"/>
    <w:rsid w:val="76C73713"/>
    <w:rsid w:val="780844C0"/>
    <w:rsid w:val="786B4497"/>
    <w:rsid w:val="795E269D"/>
    <w:rsid w:val="799E616F"/>
    <w:rsid w:val="7B555980"/>
    <w:rsid w:val="7CF35C96"/>
    <w:rsid w:val="7ECD18CE"/>
    <w:rsid w:val="7ED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2222</Words>
  <Characters>2317</Characters>
  <Lines>0</Lines>
  <Paragraphs>0</Paragraphs>
  <TotalTime>1</TotalTime>
  <ScaleCrop>false</ScaleCrop>
  <LinksUpToDate>false</LinksUpToDate>
  <CharactersWithSpaces>2739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2023-02-15T01:13:00Z</dcterms:created>
  <dc:creator>未定义</dc:creator>
  <cp:lastModifiedBy>刘星彤</cp:lastModifiedBy>
  <dcterms:modified xsi:type="dcterms:W3CDTF">2023-06-20T00:47:21Z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A09C421A7886497C90B10DC770657C89_13</vt:lpwstr>
  </property>
</Properties>
</file>