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702945</wp:posOffset>
            </wp:positionV>
            <wp:extent cx="4481830" cy="7508240"/>
            <wp:effectExtent l="0" t="0" r="13970" b="1651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资产报废处置</w:t>
      </w:r>
      <w:r>
        <w:rPr>
          <w:rFonts w:hint="eastAsia"/>
          <w:b/>
          <w:sz w:val="44"/>
          <w:szCs w:val="44"/>
          <w:lang w:val="en-US" w:eastAsia="zh-CN"/>
        </w:rPr>
        <w:t>流程</w:t>
      </w:r>
    </w:p>
    <w:bookmarkEnd w:id="0"/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DNkMTliYjRjNTJlNmU4YzVmYjU3YjUxYTk5NDMifQ=="/>
  </w:docVars>
  <w:rsids>
    <w:rsidRoot w:val="25773006"/>
    <w:rsid w:val="25773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2022-06-09T06:55:00Z</dcterms:created>
  <dc:creator>刘娟</dc:creator>
  <cp:lastModifiedBy>刘娟</cp:lastModifiedBy>
  <dcterms:modified xsi:type="dcterms:W3CDTF">2022-06-09T06:57:20Z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93EF2F4373264E4F927EE7523C0A5BBE</vt:lpwstr>
  </property>
</Properties>
</file>