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color w:val="000000"/>
          <w:sz w:val="36"/>
          <w:szCs w:val="36"/>
        </w:rPr>
      </w:pPr>
      <w:r>
        <w:rPr>
          <w:rFonts w:ascii="华文中宋" w:hAnsi="华文中宋" w:eastAsia="华文中宋"/>
          <w:color w:val="auto"/>
          <w:sz w:val="58"/>
          <w:szCs w:val="58"/>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307340</wp:posOffset>
                </wp:positionV>
                <wp:extent cx="5457825" cy="13792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457825" cy="1379220"/>
                        </a:xfrm>
                        <a:prstGeom prst="rect">
                          <a:avLst/>
                        </a:prstGeom>
                        <a:noFill/>
                        <a:ln>
                          <a:noFill/>
                        </a:ln>
                        <a:effectLst/>
                      </wps:spPr>
                      <wps:txbx>
                        <w:txbxContent>
                          <w:p>
                            <w:pPr>
                              <w:rPr>
                                <w:rFonts w:ascii="华文中宋" w:hAnsi="华文中宋" w:eastAsia="华文中宋"/>
                                <w:b/>
                                <w:color w:val="FF0000"/>
                                <w:spacing w:val="30"/>
                                <w:sz w:val="84"/>
                                <w:szCs w:val="84"/>
                              </w:rPr>
                            </w:pPr>
                            <w:r>
                              <w:rPr>
                                <w:rFonts w:hint="eastAsia" w:ascii="华文中宋" w:hAnsi="华文中宋" w:eastAsia="华文中宋"/>
                                <w:b/>
                                <w:color w:val="FF0000"/>
                                <w:spacing w:val="30"/>
                                <w:sz w:val="84"/>
                                <w:szCs w:val="84"/>
                              </w:rPr>
                              <w:t xml:space="preserve">湖南女子学院教务处  </w:t>
                            </w:r>
                          </w:p>
                        </w:txbxContent>
                      </wps:txbx>
                      <wps:bodyPr upright="1"/>
                    </wps:wsp>
                  </a:graphicData>
                </a:graphic>
              </wp:anchor>
            </w:drawing>
          </mc:Choice>
          <mc:Fallback>
            <w:pict>
              <v:shape id="_x0000_s1026" o:spid="_x0000_s1026" o:spt="202" type="#_x0000_t202" style="position:absolute;left:0pt;margin-left:-2.1pt;margin-top:24.2pt;height:108.6pt;width:429.75pt;z-index:251659264;mso-width-relative:page;mso-height-relative:page;" filled="f" stroked="f" coordsize="21600,21600" o:gfxdata="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mPuY1NcAAAAJAQAADwAAAAAAAAABACAAAAAiAAAAZHJzL2Rvd25yZXYueG1sUEsBAhQAFAAAAAgA&#10;h07iQPODIey0AQAAXQMAAA4AAAAAAAAAAQAgAAAAJgEAAGRycy9lMm9Eb2MueG1sUEsFBgAAAAAG&#10;AAYAWQEAAEwFAAAAAA==&#10;">
                <v:fill on="f" focussize="0,0"/>
                <v:stroke on="f"/>
                <v:imagedata o:title=""/>
                <o:lock v:ext="edit" aspectratio="f"/>
                <v:textbox>
                  <w:txbxContent>
                    <w:p>
                      <w:pPr>
                        <w:rPr>
                          <w:rFonts w:ascii="华文中宋" w:hAnsi="华文中宋" w:eastAsia="华文中宋"/>
                          <w:b/>
                          <w:color w:val="FF0000"/>
                          <w:spacing w:val="30"/>
                          <w:sz w:val="84"/>
                          <w:szCs w:val="84"/>
                        </w:rPr>
                      </w:pPr>
                      <w:r>
                        <w:rPr>
                          <w:rFonts w:hint="eastAsia" w:ascii="华文中宋" w:hAnsi="华文中宋" w:eastAsia="华文中宋"/>
                          <w:b/>
                          <w:color w:val="FF0000"/>
                          <w:spacing w:val="30"/>
                          <w:sz w:val="84"/>
                          <w:szCs w:val="84"/>
                        </w:rPr>
                        <w:t xml:space="preserve">湖南女子学院教务处  </w:t>
                      </w:r>
                    </w:p>
                  </w:txbxContent>
                </v:textbox>
              </v:shape>
            </w:pict>
          </mc:Fallback>
        </mc:AlternateContent>
      </w:r>
    </w:p>
    <w:p>
      <w:pPr>
        <w:spacing w:line="640" w:lineRule="exact"/>
        <w:rPr>
          <w:color w:val="000000"/>
          <w:sz w:val="36"/>
          <w:szCs w:val="36"/>
        </w:rPr>
      </w:pPr>
    </w:p>
    <w:p>
      <w:pPr>
        <w:spacing w:line="640" w:lineRule="exact"/>
        <w:rPr>
          <w:color w:val="000000"/>
          <w:sz w:val="36"/>
          <w:szCs w:val="36"/>
        </w:rPr>
      </w:pPr>
    </w:p>
    <w:p>
      <w:pPr>
        <w:jc w:val="center"/>
        <w:rPr>
          <w:rFonts w:ascii="仿宋_GB2312" w:eastAsia="仿宋_GB2312"/>
          <w:color w:val="000000"/>
          <w:sz w:val="32"/>
          <w:szCs w:val="32"/>
        </w:rPr>
      </w:pPr>
      <w:r>
        <w:rPr>
          <w:color w:val="000000"/>
          <w:sz w:val="36"/>
          <w:szCs w:val="36"/>
        </w:rPr>
        <w:t xml:space="preserve"> </w:t>
      </w:r>
      <w:r>
        <w:rPr>
          <w:color w:val="auto"/>
          <w:sz w:val="52"/>
          <w:szCs w:val="52"/>
        </w:rPr>
        <mc:AlternateContent>
          <mc:Choice Requires="wps">
            <w:drawing>
              <wp:anchor distT="0" distB="0" distL="114300" distR="114300" simplePos="0" relativeHeight="251660288" behindDoc="0" locked="0" layoutInCell="1" allowOverlap="1">
                <wp:simplePos x="0" y="0"/>
                <wp:positionH relativeFrom="margin">
                  <wp:posOffset>-255905</wp:posOffset>
                </wp:positionH>
                <wp:positionV relativeFrom="paragraph">
                  <wp:posOffset>385445</wp:posOffset>
                </wp:positionV>
                <wp:extent cx="5784215" cy="0"/>
                <wp:effectExtent l="0" t="22225" r="6985" b="34925"/>
                <wp:wrapNone/>
                <wp:docPr id="1" name="直接连接符 1"/>
                <wp:cNvGraphicFramePr/>
                <a:graphic xmlns:a="http://schemas.openxmlformats.org/drawingml/2006/main">
                  <a:graphicData uri="http://schemas.microsoft.com/office/word/2010/wordprocessingShape">
                    <wps:wsp>
                      <wps:cNvCnPr/>
                      <wps:spPr>
                        <a:xfrm>
                          <a:off x="0" y="0"/>
                          <a:ext cx="5784215" cy="0"/>
                        </a:xfrm>
                        <a:prstGeom prst="line">
                          <a:avLst/>
                        </a:prstGeom>
                        <a:ln w="4445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0.15pt;margin-top:30.35pt;height:0pt;width:455.45pt;mso-position-horizontal-relative:margin;z-index:251660288;mso-width-relative:page;mso-height-relative:page;" filled="f" stroked="t" coordsize="21600,21600" o:gfxdata="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QNz71wAAAAkBAAAPAAAAAAAAAAEAIAAAACIAAABkcnMvZG93bnJldi54bWxQSwEC&#10;FAAUAAAACACHTuJAtmofcvUBAADnAwAADgAAAAAAAAABACAAAAAmAQAAZHJzL2Uyb0RvYy54bWxQ&#10;SwUGAAAAAAYABgBZAQAAjQUAAAAA&#10;">
                <v:fill on="f" focussize="0,0"/>
                <v:stroke weight="3.5pt" color="#FF0000" joinstyle="round"/>
                <v:imagedata o:title=""/>
                <o:lock v:ext="edit" aspectratio="f"/>
              </v:line>
            </w:pict>
          </mc:Fallback>
        </mc:AlternateContent>
      </w:r>
      <w:r>
        <w:rPr>
          <w:color w:val="000000"/>
          <w:sz w:val="36"/>
          <w:szCs w:val="36"/>
        </w:rPr>
        <w:t xml:space="preserve">                           </w:t>
      </w:r>
      <w:r>
        <w:rPr>
          <w:rFonts w:hint="eastAsia" w:ascii="仿宋_GB2312" w:eastAsia="仿宋_GB2312"/>
          <w:color w:val="000000"/>
          <w:sz w:val="32"/>
          <w:szCs w:val="32"/>
        </w:rPr>
        <w:t xml:space="preserve"> 教务处</w:t>
      </w:r>
      <w:r>
        <w:rPr>
          <w:rFonts w:hint="eastAsia" w:ascii="仿宋" w:hAnsi="仿宋" w:eastAsia="仿宋" w:cs="Times New Roman"/>
          <w:sz w:val="32"/>
        </w:rPr>
        <w:t>〔2021〕</w:t>
      </w:r>
      <w:r>
        <w:rPr>
          <w:rFonts w:hint="eastAsia" w:ascii="仿宋" w:hAnsi="仿宋" w:eastAsia="仿宋" w:cs="Times New Roman"/>
          <w:sz w:val="32"/>
          <w:lang w:val="en-US" w:eastAsia="zh-CN"/>
        </w:rPr>
        <w:t>23</w:t>
      </w:r>
      <w:r>
        <w:rPr>
          <w:rFonts w:hint="eastAsia" w:ascii="仿宋_GB2312" w:eastAsia="仿宋_GB2312"/>
          <w:color w:val="000000"/>
          <w:sz w:val="32"/>
          <w:szCs w:val="32"/>
        </w:rPr>
        <w:t>号</w:t>
      </w:r>
    </w:p>
    <w:p>
      <w:pPr>
        <w:jc w:val="center"/>
        <w:rPr>
          <w:rFonts w:ascii="仿宋_GB2312" w:eastAsia="仿宋_GB2312"/>
          <w:color w:val="000000"/>
          <w:sz w:val="32"/>
          <w:szCs w:val="32"/>
        </w:rPr>
      </w:pPr>
    </w:p>
    <w:p>
      <w:pPr>
        <w:pStyle w:val="3"/>
        <w:widowControl/>
        <w:spacing w:before="0" w:beforeAutospacing="0" w:after="0" w:afterAutospacing="0" w:line="480" w:lineRule="exact"/>
        <w:ind w:right="0"/>
        <w:jc w:val="center"/>
        <w:rPr>
          <w:rFonts w:hint="eastAsia" w:ascii="华文中宋" w:hAnsi="华文中宋" w:eastAsia="华文中宋" w:cs="宋体"/>
          <w:b/>
          <w:bCs/>
          <w:color w:val="000000"/>
          <w:kern w:val="0"/>
          <w:sz w:val="44"/>
          <w:szCs w:val="44"/>
          <w:shd w:val="clear" w:color="auto" w:fill="FFFFFF"/>
          <w:lang w:val="en-US" w:eastAsia="zh-CN" w:bidi="ar"/>
        </w:rPr>
      </w:pPr>
      <w:r>
        <w:rPr>
          <w:rFonts w:hint="eastAsia" w:ascii="华文中宋" w:hAnsi="华文中宋" w:eastAsia="华文中宋" w:cs="宋体"/>
          <w:b/>
          <w:bCs/>
          <w:color w:val="000000"/>
          <w:kern w:val="0"/>
          <w:sz w:val="44"/>
          <w:szCs w:val="44"/>
          <w:shd w:val="clear" w:color="auto" w:fill="FFFFFF"/>
          <w:lang w:val="en-US" w:eastAsia="zh-CN" w:bidi="ar"/>
        </w:rPr>
        <w:t>关于开展第二批国家级一流本科课程遴选推荐工作的通知</w:t>
      </w:r>
    </w:p>
    <w:p>
      <w:pPr>
        <w:pStyle w:val="3"/>
        <w:widowControl/>
        <w:spacing w:before="0" w:beforeAutospacing="0" w:after="0" w:afterAutospacing="0" w:line="480" w:lineRule="exact"/>
        <w:ind w:right="0"/>
        <w:jc w:val="both"/>
        <w:rPr>
          <w:rFonts w:hint="eastAsia" w:ascii="仿宋_GB2312" w:hAnsi="宋体" w:eastAsia="仿宋_GB2312" w:cs="宋体"/>
          <w:color w:val="000000"/>
          <w:sz w:val="32"/>
          <w:szCs w:val="32"/>
          <w:shd w:val="clear" w:color="auto" w:fill="FFFFFF"/>
          <w:lang w:val="en-US" w:eastAsia="zh-CN" w:bidi="ar"/>
        </w:rPr>
      </w:pPr>
    </w:p>
    <w:p>
      <w:pPr>
        <w:pStyle w:val="3"/>
        <w:keepNext w:val="0"/>
        <w:keepLines w:val="0"/>
        <w:widowControl w:val="0"/>
        <w:suppressLineNumbers w:val="0"/>
        <w:autoSpaceDE w:val="0"/>
        <w:autoSpaceDN w:val="0"/>
        <w:spacing w:before="0" w:beforeAutospacing="0" w:after="0" w:afterAutospacing="0" w:line="560" w:lineRule="exact"/>
        <w:ind w:left="111" w:right="0"/>
        <w:jc w:val="left"/>
        <w:rPr>
          <w:rFonts w:hint="default" w:ascii="仿宋_GB2312" w:eastAsia="仿宋_GB2312" w:cs="仿宋_GB2312"/>
          <w:sz w:val="32"/>
          <w:szCs w:val="32"/>
        </w:rPr>
      </w:pPr>
      <w:r>
        <w:rPr>
          <w:rFonts w:hint="default" w:ascii="仿宋_GB2312" w:hAnsi="宋体" w:eastAsia="仿宋_GB2312" w:cs="仿宋_GB2312"/>
          <w:kern w:val="0"/>
          <w:sz w:val="32"/>
          <w:szCs w:val="32"/>
          <w:lang w:val="en-US" w:eastAsia="zh-CN" w:bidi="ar"/>
        </w:rPr>
        <w:t>各教学单位：</w:t>
      </w:r>
    </w:p>
    <w:p>
      <w:pPr>
        <w:pStyle w:val="3"/>
        <w:keepNext w:val="0"/>
        <w:keepLines w:val="0"/>
        <w:widowControl w:val="0"/>
        <w:suppressLineNumbers w:val="0"/>
        <w:autoSpaceDE w:val="0"/>
        <w:autoSpaceDN w:val="0"/>
        <w:spacing w:before="0" w:beforeAutospacing="0" w:after="0" w:afterAutospacing="0" w:line="560" w:lineRule="exact"/>
        <w:ind w:left="111" w:right="268" w:firstLine="640"/>
        <w:jc w:val="both"/>
        <w:rPr>
          <w:rFonts w:hint="default" w:ascii="仿宋_GB2312" w:eastAsia="仿宋_GB2312" w:cs="仿宋_GB2312"/>
          <w:sz w:val="32"/>
          <w:szCs w:val="32"/>
        </w:rPr>
      </w:pPr>
      <w:r>
        <w:rPr>
          <w:rFonts w:hint="default" w:ascii="仿宋_GB2312" w:hAnsi="宋体" w:eastAsia="仿宋_GB2312" w:cs="仿宋_GB2312"/>
          <w:spacing w:val="-17"/>
          <w:kern w:val="0"/>
          <w:sz w:val="32"/>
          <w:szCs w:val="32"/>
          <w:lang w:val="en-US" w:eastAsia="zh-CN" w:bidi="ar"/>
        </w:rPr>
        <w:t>为贯彻落实《教育部关于一流本科课程建设的实施意见》</w:t>
      </w:r>
      <w:r>
        <w:rPr>
          <w:rFonts w:hint="default" w:ascii="Times New Roman" w:hAnsi="仿宋_GB2312" w:eastAsia="仿宋_GB2312" w:cs="仿宋_GB2312"/>
          <w:kern w:val="0"/>
          <w:sz w:val="32"/>
          <w:szCs w:val="32"/>
          <w:lang w:val="en-US" w:eastAsia="zh-CN" w:bidi="ar"/>
        </w:rPr>
        <w:t>(</w:t>
      </w:r>
      <w:r>
        <w:rPr>
          <w:rFonts w:hint="default" w:ascii="仿宋_GB2312" w:hAnsi="宋体" w:eastAsia="仿宋_GB2312" w:cs="仿宋_GB2312"/>
          <w:spacing w:val="-13"/>
          <w:kern w:val="0"/>
          <w:sz w:val="32"/>
          <w:szCs w:val="32"/>
          <w:lang w:val="en-US" w:eastAsia="zh-CN" w:bidi="ar"/>
        </w:rPr>
        <w:t>教</w:t>
      </w:r>
      <w:r>
        <w:rPr>
          <w:rFonts w:hint="default" w:ascii="仿宋_GB2312" w:hAnsi="宋体" w:eastAsia="仿宋_GB2312" w:cs="仿宋_GB2312"/>
          <w:spacing w:val="-5"/>
          <w:kern w:val="0"/>
          <w:sz w:val="32"/>
          <w:szCs w:val="32"/>
          <w:lang w:val="en-US" w:eastAsia="zh-CN" w:bidi="ar"/>
        </w:rPr>
        <w:t>高〔</w:t>
      </w:r>
      <w:r>
        <w:rPr>
          <w:rFonts w:hint="default" w:ascii="Times New Roman" w:hAnsi="仿宋_GB2312" w:eastAsia="仿宋_GB2312" w:cs="仿宋_GB2312"/>
          <w:kern w:val="0"/>
          <w:sz w:val="32"/>
          <w:szCs w:val="32"/>
          <w:lang w:val="en-US" w:eastAsia="zh-CN" w:bidi="ar"/>
        </w:rPr>
        <w:t>20</w:t>
      </w:r>
      <w:r>
        <w:rPr>
          <w:rFonts w:hint="default" w:ascii="Times New Roman" w:hAnsi="仿宋_GB2312" w:eastAsia="仿宋_GB2312" w:cs="仿宋_GB2312"/>
          <w:spacing w:val="-2"/>
          <w:kern w:val="0"/>
          <w:sz w:val="32"/>
          <w:szCs w:val="32"/>
          <w:lang w:val="en-US" w:eastAsia="zh-CN" w:bidi="ar"/>
        </w:rPr>
        <w:t>1</w:t>
      </w:r>
      <w:r>
        <w:rPr>
          <w:rFonts w:hint="default" w:ascii="Times New Roman" w:hAnsi="仿宋_GB2312" w:eastAsia="仿宋_GB2312" w:cs="仿宋_GB2312"/>
          <w:spacing w:val="1"/>
          <w:kern w:val="0"/>
          <w:sz w:val="32"/>
          <w:szCs w:val="32"/>
          <w:lang w:val="en-US" w:eastAsia="zh-CN" w:bidi="ar"/>
        </w:rPr>
        <w:t>9</w:t>
      </w:r>
      <w:r>
        <w:rPr>
          <w:rFonts w:hint="default" w:ascii="仿宋_GB2312" w:hAnsi="宋体" w:eastAsia="仿宋_GB2312" w:cs="仿宋_GB2312"/>
          <w:spacing w:val="-8"/>
          <w:kern w:val="0"/>
          <w:sz w:val="32"/>
          <w:szCs w:val="32"/>
          <w:lang w:val="en-US" w:eastAsia="zh-CN" w:bidi="ar"/>
        </w:rPr>
        <w:t>〕</w:t>
      </w:r>
      <w:r>
        <w:rPr>
          <w:rFonts w:hint="default" w:ascii="Times New Roman" w:hAnsi="仿宋_GB2312" w:eastAsia="仿宋_GB2312" w:cs="仿宋_GB2312"/>
          <w:kern w:val="0"/>
          <w:sz w:val="32"/>
          <w:szCs w:val="32"/>
          <w:lang w:val="en-US" w:eastAsia="zh-CN" w:bidi="ar"/>
        </w:rPr>
        <w:t>8</w:t>
      </w:r>
      <w:r>
        <w:rPr>
          <w:rFonts w:hint="default" w:ascii="仿宋_GB2312" w:hAnsi="宋体" w:eastAsia="仿宋_GB2312" w:cs="仿宋_GB2312"/>
          <w:spacing w:val="-17"/>
          <w:kern w:val="0"/>
          <w:sz w:val="32"/>
          <w:szCs w:val="32"/>
          <w:lang w:val="en-US" w:eastAsia="zh-CN" w:bidi="ar"/>
        </w:rPr>
        <w:t>号</w:t>
      </w:r>
      <w:r>
        <w:rPr>
          <w:rFonts w:hint="eastAsia" w:ascii="仿宋_GB2312" w:eastAsia="仿宋_GB2312" w:cs="仿宋_GB2312"/>
          <w:spacing w:val="-17"/>
          <w:kern w:val="0"/>
          <w:sz w:val="32"/>
          <w:szCs w:val="32"/>
          <w:lang w:val="en-US" w:eastAsia="zh-CN" w:bidi="ar"/>
        </w:rPr>
        <w:t>）</w:t>
      </w:r>
      <w:r>
        <w:rPr>
          <w:rFonts w:hint="default" w:ascii="仿宋_GB2312" w:hAnsi="宋体" w:eastAsia="仿宋_GB2312" w:cs="仿宋_GB2312"/>
          <w:spacing w:val="-17"/>
          <w:kern w:val="0"/>
          <w:sz w:val="32"/>
          <w:szCs w:val="32"/>
          <w:lang w:val="en-US" w:eastAsia="zh-CN" w:bidi="ar"/>
        </w:rPr>
        <w:t>，</w:t>
      </w:r>
      <w:r>
        <w:rPr>
          <w:rFonts w:hint="eastAsia" w:ascii="仿宋_GB2312" w:eastAsia="仿宋_GB2312" w:cs="仿宋_GB2312"/>
          <w:spacing w:val="-17"/>
          <w:kern w:val="0"/>
          <w:sz w:val="32"/>
          <w:szCs w:val="32"/>
          <w:lang w:val="en-US" w:eastAsia="zh-CN" w:bidi="ar"/>
        </w:rPr>
        <w:t>根</w:t>
      </w:r>
      <w:r>
        <w:rPr>
          <w:rFonts w:hint="default" w:ascii="仿宋_GB2312" w:hAnsi="宋体" w:eastAsia="仿宋_GB2312" w:cs="仿宋_GB2312"/>
          <w:spacing w:val="-4"/>
          <w:kern w:val="0"/>
          <w:sz w:val="32"/>
          <w:szCs w:val="32"/>
          <w:lang w:val="en-US" w:eastAsia="zh-CN" w:bidi="ar"/>
        </w:rPr>
        <w:t>据《教育部办公厅关于开展第二批国家级一流本科课程认定工作的通知</w:t>
      </w:r>
      <w:r>
        <w:rPr>
          <w:rFonts w:hint="default" w:ascii="仿宋_GB2312" w:hAnsi="宋体" w:eastAsia="仿宋_GB2312" w:cs="仿宋_GB2312"/>
          <w:spacing w:val="-18"/>
          <w:kern w:val="0"/>
          <w:sz w:val="32"/>
          <w:szCs w:val="32"/>
          <w:lang w:val="en-US" w:eastAsia="zh-CN" w:bidi="ar"/>
        </w:rPr>
        <w:t>》</w:t>
      </w:r>
      <w:r>
        <w:rPr>
          <w:rFonts w:hint="default" w:ascii="仿宋_GB2312" w:hAnsi="宋体" w:eastAsia="仿宋_GB2312" w:cs="仿宋_GB2312"/>
          <w:kern w:val="0"/>
          <w:sz w:val="32"/>
          <w:szCs w:val="32"/>
          <w:lang w:val="en-US" w:eastAsia="zh-CN" w:bidi="ar"/>
        </w:rPr>
        <w:t>（</w:t>
      </w:r>
      <w:r>
        <w:rPr>
          <w:rFonts w:hint="default" w:ascii="仿宋_GB2312" w:hAnsi="宋体" w:eastAsia="仿宋_GB2312" w:cs="仿宋_GB2312"/>
          <w:spacing w:val="-3"/>
          <w:kern w:val="0"/>
          <w:sz w:val="32"/>
          <w:szCs w:val="32"/>
          <w:lang w:val="en-US" w:eastAsia="zh-CN" w:bidi="ar"/>
        </w:rPr>
        <w:t>教高厅函〔2021〕13号</w:t>
      </w:r>
      <w:r>
        <w:rPr>
          <w:rFonts w:hint="default" w:ascii="仿宋_GB2312" w:hAnsi="宋体" w:eastAsia="仿宋_GB2312" w:cs="仿宋_GB2312"/>
          <w:spacing w:val="-13"/>
          <w:kern w:val="0"/>
          <w:sz w:val="32"/>
          <w:szCs w:val="32"/>
          <w:lang w:val="en-US" w:eastAsia="zh-CN" w:bidi="ar"/>
        </w:rPr>
        <w:t>）（附件1）及《关于开展第二批国家级一流本科课程遴选推荐工作的通知》（湘教通〔2021〕349号）（附件2）</w:t>
      </w:r>
      <w:r>
        <w:rPr>
          <w:rFonts w:hint="default" w:ascii="仿宋_GB2312" w:hAnsi="宋体" w:eastAsia="仿宋_GB2312" w:cs="仿宋_GB2312"/>
          <w:spacing w:val="-4"/>
          <w:kern w:val="0"/>
          <w:sz w:val="32"/>
          <w:szCs w:val="32"/>
          <w:lang w:val="en-US" w:eastAsia="zh-CN" w:bidi="ar"/>
        </w:rPr>
        <w:t>精神，学校</w:t>
      </w:r>
      <w:r>
        <w:rPr>
          <w:rFonts w:hint="default" w:ascii="仿宋_GB2312" w:hAnsi="宋体" w:eastAsia="仿宋_GB2312" w:cs="仿宋_GB2312"/>
          <w:spacing w:val="-7"/>
          <w:kern w:val="0"/>
          <w:sz w:val="32"/>
          <w:szCs w:val="32"/>
          <w:lang w:val="en-US" w:eastAsia="zh-CN" w:bidi="ar"/>
        </w:rPr>
        <w:t>特开展</w:t>
      </w:r>
      <w:r>
        <w:rPr>
          <w:rFonts w:hint="default" w:ascii="仿宋_GB2312" w:hAnsi="宋体" w:eastAsia="仿宋_GB2312" w:cs="仿宋_GB2312"/>
          <w:spacing w:val="6"/>
          <w:kern w:val="0"/>
          <w:sz w:val="32"/>
          <w:szCs w:val="32"/>
          <w:lang w:val="en-US" w:eastAsia="zh-CN" w:bidi="ar"/>
        </w:rPr>
        <w:t>国家级一流课程遴选推荐工作，现就有关事项通知如下：</w:t>
      </w:r>
    </w:p>
    <w:p>
      <w:pPr>
        <w:pStyle w:val="3"/>
        <w:keepNext w:val="0"/>
        <w:keepLines w:val="0"/>
        <w:widowControl w:val="0"/>
        <w:suppressLineNumbers w:val="0"/>
        <w:autoSpaceDE w:val="0"/>
        <w:autoSpaceDN w:val="0"/>
        <w:spacing w:before="0" w:beforeAutospacing="0" w:after="0" w:afterAutospacing="0" w:line="560" w:lineRule="exact"/>
        <w:ind w:left="752" w:right="0"/>
        <w:jc w:val="left"/>
        <w:rPr>
          <w:rFonts w:hint="eastAsia" w:ascii="黑体" w:hAnsi="仿宋_GB2312" w:eastAsia="黑体" w:cs="仿宋_GB2312"/>
          <w:sz w:val="32"/>
          <w:szCs w:val="32"/>
        </w:rPr>
      </w:pPr>
      <w:r>
        <w:rPr>
          <w:rFonts w:hint="eastAsia" w:ascii="黑体" w:hAnsi="宋体" w:eastAsia="黑体" w:cs="黑体"/>
          <w:kern w:val="0"/>
          <w:sz w:val="32"/>
          <w:szCs w:val="32"/>
          <w:lang w:val="en-US" w:eastAsia="zh-CN" w:bidi="ar"/>
        </w:rPr>
        <w:t>一、遴选及推荐要求</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1.推荐课程从已立项的2019年和2020年省级一流课程中进行遴选（不含已认定为国家级的一流本科课程，含2019年认定的省级精品在线开放课程），推荐课程不得变更课程类别和课程类型。</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5"/>
          <w:sz w:val="32"/>
          <w:szCs w:val="32"/>
        </w:rPr>
      </w:pPr>
      <w:r>
        <w:rPr>
          <w:rFonts w:hint="default" w:ascii="仿宋_GB2312" w:hAnsi="宋体" w:eastAsia="仿宋_GB2312" w:cs="仿宋_GB2312"/>
          <w:spacing w:val="-13"/>
          <w:kern w:val="0"/>
          <w:sz w:val="32"/>
          <w:szCs w:val="32"/>
          <w:lang w:val="en-US" w:eastAsia="zh-CN" w:bidi="ar"/>
        </w:rPr>
        <w:t>2.本次</w:t>
      </w:r>
      <w:r>
        <w:rPr>
          <w:rFonts w:hint="eastAsia" w:ascii="仿宋_GB2312" w:eastAsia="仿宋_GB2312" w:cs="仿宋_GB2312"/>
          <w:spacing w:val="-13"/>
          <w:kern w:val="0"/>
          <w:sz w:val="32"/>
          <w:szCs w:val="32"/>
          <w:lang w:val="en-US" w:eastAsia="zh-CN" w:bidi="ar"/>
        </w:rPr>
        <w:t>要求已认定为</w:t>
      </w:r>
      <w:r>
        <w:rPr>
          <w:rFonts w:hint="default" w:ascii="仿宋_GB2312" w:hAnsi="宋体" w:eastAsia="仿宋_GB2312" w:cs="仿宋_GB2312"/>
          <w:spacing w:val="-13"/>
          <w:kern w:val="0"/>
          <w:sz w:val="32"/>
          <w:szCs w:val="32"/>
          <w:lang w:val="en-US" w:eastAsia="zh-CN" w:bidi="ar"/>
        </w:rPr>
        <w:t>2019年和2020年省级一流课程</w:t>
      </w:r>
      <w:r>
        <w:rPr>
          <w:rFonts w:hint="eastAsia" w:ascii="仿宋_GB2312" w:eastAsia="仿宋_GB2312" w:cs="仿宋_GB2312"/>
          <w:spacing w:val="-13"/>
          <w:kern w:val="0"/>
          <w:sz w:val="32"/>
          <w:szCs w:val="32"/>
          <w:lang w:val="en-US" w:eastAsia="zh-CN" w:bidi="ar"/>
        </w:rPr>
        <w:t>必须全部</w:t>
      </w:r>
      <w:r>
        <w:rPr>
          <w:rFonts w:hint="default" w:ascii="仿宋_GB2312" w:hAnsi="宋体" w:eastAsia="仿宋_GB2312" w:cs="仿宋_GB2312"/>
          <w:spacing w:val="-13"/>
          <w:kern w:val="0"/>
          <w:sz w:val="32"/>
          <w:szCs w:val="32"/>
          <w:lang w:val="en-US" w:eastAsia="zh-CN" w:bidi="ar"/>
        </w:rPr>
        <w:t>申报，</w:t>
      </w:r>
      <w:r>
        <w:rPr>
          <w:rFonts w:hint="eastAsia" w:ascii="仿宋_GB2312" w:eastAsia="仿宋_GB2312" w:cs="仿宋_GB2312"/>
          <w:spacing w:val="-13"/>
          <w:kern w:val="0"/>
          <w:sz w:val="32"/>
          <w:szCs w:val="32"/>
          <w:lang w:val="en-US" w:eastAsia="zh-CN" w:bidi="ar"/>
        </w:rPr>
        <w:t>详细</w:t>
      </w:r>
      <w:r>
        <w:rPr>
          <w:rFonts w:hint="default" w:ascii="仿宋_GB2312" w:hAnsi="宋体" w:eastAsia="仿宋_GB2312" w:cs="仿宋_GB2312"/>
          <w:spacing w:val="-13"/>
          <w:kern w:val="0"/>
          <w:sz w:val="32"/>
          <w:szCs w:val="32"/>
          <w:lang w:val="en-US" w:eastAsia="zh-CN" w:bidi="ar"/>
        </w:rPr>
        <w:t>名单见《湖南女子学院省级一流本科课程汇总表(2019-2020)》（附件3），学校择优遴选的方式进行。</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5"/>
          <w:sz w:val="32"/>
          <w:szCs w:val="32"/>
        </w:rPr>
      </w:pPr>
      <w:r>
        <w:rPr>
          <w:rFonts w:hint="default" w:ascii="仿宋_GB2312" w:hAnsi="宋体" w:eastAsia="仿宋_GB2312" w:cs="仿宋_GB2312"/>
          <w:spacing w:val="-5"/>
          <w:kern w:val="0"/>
          <w:sz w:val="32"/>
          <w:szCs w:val="32"/>
          <w:lang w:val="en-US" w:eastAsia="zh-CN" w:bidi="ar"/>
        </w:rPr>
        <w:t>3.学校将组织专家对提交的课程进行评审，从中择优推荐2门线上课程、7门非线上课程参评国家级一流课程认定。</w:t>
      </w:r>
    </w:p>
    <w:p>
      <w:pPr>
        <w:pStyle w:val="3"/>
        <w:keepNext w:val="0"/>
        <w:keepLines w:val="0"/>
        <w:widowControl w:val="0"/>
        <w:suppressLineNumbers w:val="0"/>
        <w:autoSpaceDE w:val="0"/>
        <w:autoSpaceDN w:val="0"/>
        <w:spacing w:before="0" w:beforeAutospacing="0" w:after="0" w:afterAutospacing="0" w:line="560" w:lineRule="exact"/>
        <w:ind w:left="752" w:right="0"/>
        <w:jc w:val="left"/>
        <w:rPr>
          <w:rFonts w:hint="eastAsia" w:ascii="黑体" w:hAnsi="仿宋_GB2312" w:eastAsia="黑体" w:cs="仿宋_GB2312"/>
          <w:sz w:val="32"/>
          <w:szCs w:val="32"/>
        </w:rPr>
      </w:pPr>
      <w:r>
        <w:rPr>
          <w:rFonts w:hint="eastAsia" w:ascii="黑体" w:hAnsi="宋体" w:eastAsia="黑体" w:cs="黑体"/>
          <w:kern w:val="0"/>
          <w:sz w:val="32"/>
          <w:szCs w:val="32"/>
          <w:lang w:val="en-US" w:eastAsia="zh-CN" w:bidi="ar"/>
        </w:rPr>
        <w:t>二、课程要求</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课程主讲教师、课程团队主要成员只能参与一门第二批国家级一流本科课程的遴选推荐，且人员未发生变更。课程须于2021年1月31日前至少经过两个学期或两个教学周期的建设和完善，且取得实质性改革成效。参加过首批国家级一流本科课程推荐但未通过认定的课程，在上次推荐之后至少经过一个完整教学周期的改革实践方可推荐参与遴选。在2020年春季学期，因受新冠肺炎疫情影响而采用在线方式进行授课的线下课程、线上线下混合式课程，如符合教改设计理念并取得预期效果，可视为完成一个教学周期。其他推荐要求可参见第二批国家级一流本科课程申报说明（附件</w:t>
      </w:r>
      <w:r>
        <w:rPr>
          <w:rFonts w:hint="eastAsia" w:ascii="仿宋_GB2312" w:eastAsia="仿宋_GB2312" w:cs="仿宋_GB2312"/>
          <w:spacing w:val="-13"/>
          <w:kern w:val="0"/>
          <w:sz w:val="32"/>
          <w:szCs w:val="32"/>
          <w:lang w:val="en-US" w:eastAsia="zh-CN" w:bidi="ar"/>
        </w:rPr>
        <w:t>4</w:t>
      </w:r>
      <w:r>
        <w:rPr>
          <w:rFonts w:hint="default" w:ascii="仿宋_GB2312" w:hAnsi="宋体" w:eastAsia="仿宋_GB2312" w:cs="仿宋_GB2312"/>
          <w:spacing w:val="-13"/>
          <w:kern w:val="0"/>
          <w:sz w:val="32"/>
          <w:szCs w:val="32"/>
          <w:lang w:val="en-US" w:eastAsia="zh-CN" w:bidi="ar"/>
        </w:rPr>
        <w:t>）和相关类型课程申报书（附件</w:t>
      </w:r>
      <w:r>
        <w:rPr>
          <w:rFonts w:hint="eastAsia" w:ascii="仿宋_GB2312" w:eastAsia="仿宋_GB2312" w:cs="仿宋_GB2312"/>
          <w:spacing w:val="-13"/>
          <w:kern w:val="0"/>
          <w:sz w:val="32"/>
          <w:szCs w:val="32"/>
          <w:lang w:val="en-US" w:eastAsia="zh-CN" w:bidi="ar"/>
        </w:rPr>
        <w:t>5</w:t>
      </w:r>
      <w:r>
        <w:rPr>
          <w:rFonts w:hint="default" w:ascii="仿宋_GB2312" w:hAnsi="宋体" w:eastAsia="仿宋_GB2312" w:cs="仿宋_GB2312"/>
          <w:spacing w:val="-13"/>
          <w:kern w:val="0"/>
          <w:sz w:val="32"/>
          <w:szCs w:val="32"/>
          <w:lang w:val="en-US" w:eastAsia="zh-CN" w:bidi="ar"/>
        </w:rPr>
        <w:t>）。</w:t>
      </w:r>
    </w:p>
    <w:p>
      <w:pPr>
        <w:pStyle w:val="3"/>
        <w:keepNext w:val="0"/>
        <w:keepLines w:val="0"/>
        <w:widowControl w:val="0"/>
        <w:numPr>
          <w:ilvl w:val="0"/>
          <w:numId w:val="1"/>
        </w:numPr>
        <w:suppressLineNumbers w:val="0"/>
        <w:autoSpaceDE w:val="0"/>
        <w:autoSpaceDN w:val="0"/>
        <w:spacing w:before="0" w:beforeAutospacing="0" w:after="0" w:afterAutospacing="0" w:line="560" w:lineRule="exact"/>
        <w:ind w:left="111" w:right="271" w:firstLine="638"/>
        <w:jc w:val="both"/>
        <w:rPr>
          <w:rFonts w:hint="eastAsia" w:ascii="黑体" w:hAnsi="仿宋_GB2312" w:eastAsia="黑体" w:cs="仿宋_GB2312"/>
          <w:sz w:val="32"/>
          <w:szCs w:val="32"/>
        </w:rPr>
      </w:pPr>
      <w:r>
        <w:rPr>
          <w:rFonts w:hint="eastAsia" w:ascii="黑体" w:hAnsi="宋体" w:eastAsia="黑体" w:cs="黑体"/>
          <w:kern w:val="0"/>
          <w:sz w:val="32"/>
          <w:szCs w:val="32"/>
          <w:lang w:val="en-US" w:eastAsia="zh-CN" w:bidi="ar"/>
        </w:rPr>
        <w:t>材料报送</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eastAsia" w:ascii="仿宋_GB2312" w:eastAsia="仿宋_GB2312" w:cs="仿宋_GB2312"/>
          <w:spacing w:val="-13"/>
          <w:kern w:val="0"/>
          <w:sz w:val="32"/>
          <w:szCs w:val="32"/>
          <w:lang w:val="en-US" w:eastAsia="zh-CN" w:bidi="ar"/>
        </w:rPr>
        <w:t>请各教学单位统一</w:t>
      </w:r>
      <w:r>
        <w:rPr>
          <w:rFonts w:hint="default" w:ascii="仿宋_GB2312" w:hAnsi="宋体" w:eastAsia="仿宋_GB2312" w:cs="仿宋_GB2312"/>
          <w:spacing w:val="-13"/>
          <w:kern w:val="0"/>
          <w:sz w:val="32"/>
          <w:szCs w:val="32"/>
          <w:lang w:val="en-US" w:eastAsia="zh-CN" w:bidi="ar"/>
        </w:rPr>
        <w:t>于5月17日前将申报书纸质版、《第二批国家级一流本科课程申报推荐汇总表》（见附件</w:t>
      </w:r>
      <w:r>
        <w:rPr>
          <w:rFonts w:hint="eastAsia" w:ascii="仿宋_GB2312" w:eastAsia="仿宋_GB2312" w:cs="仿宋_GB2312"/>
          <w:spacing w:val="-13"/>
          <w:kern w:val="0"/>
          <w:sz w:val="32"/>
          <w:szCs w:val="32"/>
          <w:lang w:val="en-US" w:eastAsia="zh-CN" w:bidi="ar"/>
        </w:rPr>
        <w:t>6</w:t>
      </w:r>
      <w:r>
        <w:rPr>
          <w:rFonts w:hint="default" w:ascii="仿宋_GB2312" w:hAnsi="宋体" w:eastAsia="仿宋_GB2312" w:cs="仿宋_GB2312"/>
          <w:spacing w:val="-13"/>
          <w:kern w:val="0"/>
          <w:sz w:val="32"/>
          <w:szCs w:val="32"/>
          <w:lang w:val="en-US" w:eastAsia="zh-CN" w:bidi="ar"/>
        </w:rPr>
        <w:t>）报送至教务处教研教材科（办公楼605），申报书一式五份、附件材料一式一</w:t>
      </w:r>
      <w:bookmarkStart w:id="0" w:name="_GoBack"/>
      <w:bookmarkEnd w:id="0"/>
      <w:r>
        <w:rPr>
          <w:rFonts w:hint="default" w:ascii="仿宋_GB2312" w:hAnsi="宋体" w:eastAsia="仿宋_GB2312" w:cs="仿宋_GB2312"/>
          <w:spacing w:val="-13"/>
          <w:kern w:val="0"/>
          <w:sz w:val="32"/>
          <w:szCs w:val="32"/>
          <w:lang w:val="en-US" w:eastAsia="zh-CN" w:bidi="ar"/>
        </w:rPr>
        <w:t>份，并将以上材料的电子版发送至邮箱： jwcjy605@163.com,电子档请标记</w:t>
      </w:r>
      <w:r>
        <w:rPr>
          <w:rFonts w:hint="eastAsia" w:ascii="仿宋_GB2312" w:eastAsia="仿宋_GB2312" w:cs="仿宋_GB2312"/>
          <w:spacing w:val="-13"/>
          <w:kern w:val="0"/>
          <w:sz w:val="32"/>
          <w:szCs w:val="32"/>
          <w:lang w:val="en-US" w:eastAsia="zh-CN" w:bidi="ar"/>
        </w:rPr>
        <w:t>“</w:t>
      </w:r>
      <w:r>
        <w:rPr>
          <w:rFonts w:hint="default" w:ascii="仿宋_GB2312" w:hAnsi="宋体" w:eastAsia="仿宋_GB2312" w:cs="仿宋_GB2312"/>
          <w:spacing w:val="-13"/>
          <w:kern w:val="0"/>
          <w:sz w:val="32"/>
          <w:szCs w:val="32"/>
          <w:lang w:val="en-US" w:eastAsia="zh-CN" w:bidi="ar"/>
        </w:rPr>
        <w:t>课程类别+课程名称+负责人名字</w:t>
      </w:r>
      <w:r>
        <w:rPr>
          <w:rFonts w:hint="eastAsia" w:ascii="仿宋_GB2312" w:eastAsia="仿宋_GB2312" w:cs="仿宋_GB2312"/>
          <w:spacing w:val="-13"/>
          <w:kern w:val="0"/>
          <w:sz w:val="32"/>
          <w:szCs w:val="32"/>
          <w:lang w:val="en-US" w:eastAsia="zh-CN" w:bidi="ar"/>
        </w:rPr>
        <w:t>”</w:t>
      </w:r>
      <w:r>
        <w:rPr>
          <w:rFonts w:hint="default" w:ascii="仿宋_GB2312" w:hAnsi="宋体" w:eastAsia="仿宋_GB2312" w:cs="仿宋_GB2312"/>
          <w:spacing w:val="-13"/>
          <w:kern w:val="0"/>
          <w:sz w:val="32"/>
          <w:szCs w:val="32"/>
          <w:lang w:val="en-US" w:eastAsia="zh-CN" w:bidi="ar"/>
        </w:rPr>
        <w:t>。逾期不予受理。</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联系人：邵尚、宁昭甫，联系电话：0731-82825029。</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 xml:space="preserve"> </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hAnsi="宋体" w:eastAsia="仿宋_GB2312" w:cs="仿宋_GB2312"/>
          <w:b/>
          <w:bCs/>
          <w:spacing w:val="-13"/>
          <w:kern w:val="0"/>
          <w:sz w:val="32"/>
          <w:szCs w:val="32"/>
          <w:lang w:val="en-US" w:eastAsia="zh-CN" w:bidi="ar"/>
        </w:rPr>
      </w:pP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b/>
          <w:bCs/>
          <w:spacing w:val="-13"/>
          <w:sz w:val="32"/>
          <w:szCs w:val="32"/>
        </w:rPr>
      </w:pPr>
      <w:r>
        <w:rPr>
          <w:rFonts w:hint="default" w:ascii="仿宋_GB2312" w:hAnsi="宋体" w:eastAsia="仿宋_GB2312" w:cs="仿宋_GB2312"/>
          <w:b/>
          <w:bCs/>
          <w:spacing w:val="-13"/>
          <w:kern w:val="0"/>
          <w:sz w:val="32"/>
          <w:szCs w:val="32"/>
          <w:lang w:val="en-US" w:eastAsia="zh-CN" w:bidi="ar"/>
        </w:rPr>
        <w:t>附件：</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1.教育部办公厅关于开展第二批国家级一流本科课程认定工作的通知</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default" w:ascii="仿宋_GB2312" w:hAnsi="宋体" w:eastAsia="仿宋_GB2312" w:cs="仿宋_GB2312"/>
          <w:spacing w:val="-13"/>
          <w:kern w:val="0"/>
          <w:sz w:val="32"/>
          <w:szCs w:val="32"/>
          <w:lang w:val="en-US" w:eastAsia="zh-CN" w:bidi="ar"/>
        </w:rPr>
        <w:t>2.关于开展第二批国家级一流本科课程遴选推荐工作的通知</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hAnsi="宋体" w:eastAsia="仿宋_GB2312" w:cs="仿宋_GB2312"/>
          <w:spacing w:val="-13"/>
          <w:kern w:val="0"/>
          <w:sz w:val="32"/>
          <w:szCs w:val="32"/>
          <w:lang w:val="en-US" w:eastAsia="zh-CN" w:bidi="ar"/>
        </w:rPr>
      </w:pPr>
      <w:r>
        <w:rPr>
          <w:rFonts w:hint="default" w:ascii="仿宋_GB2312" w:hAnsi="宋体" w:eastAsia="仿宋_GB2312" w:cs="仿宋_GB2312"/>
          <w:spacing w:val="-13"/>
          <w:kern w:val="0"/>
          <w:sz w:val="32"/>
          <w:szCs w:val="32"/>
          <w:lang w:val="en-US" w:eastAsia="zh-CN" w:bidi="ar"/>
        </w:rPr>
        <w:t>3.湖南女子学院省级一流本科课程汇总表(2019-2020)</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eastAsia" w:ascii="仿宋_GB2312" w:eastAsia="仿宋_GB2312" w:cs="仿宋_GB2312"/>
          <w:spacing w:val="-13"/>
          <w:kern w:val="0"/>
          <w:sz w:val="32"/>
          <w:szCs w:val="32"/>
          <w:lang w:val="en-US" w:eastAsia="zh-CN" w:bidi="ar"/>
        </w:rPr>
        <w:t>4.</w:t>
      </w:r>
      <w:r>
        <w:rPr>
          <w:rFonts w:hint="default" w:ascii="仿宋_GB2312" w:hAnsi="宋体" w:eastAsia="仿宋_GB2312" w:cs="仿宋_GB2312"/>
          <w:spacing w:val="-13"/>
          <w:kern w:val="0"/>
          <w:sz w:val="32"/>
          <w:szCs w:val="32"/>
          <w:lang w:val="en-US" w:eastAsia="zh-CN" w:bidi="ar"/>
        </w:rPr>
        <w:t>第二批国家级一流本科课程申报说明</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pacing w:val="-13"/>
          <w:sz w:val="32"/>
          <w:szCs w:val="32"/>
        </w:rPr>
      </w:pPr>
      <w:r>
        <w:rPr>
          <w:rFonts w:hint="eastAsia" w:ascii="仿宋_GB2312" w:eastAsia="仿宋_GB2312" w:cs="仿宋_GB2312"/>
          <w:spacing w:val="-13"/>
          <w:kern w:val="0"/>
          <w:sz w:val="32"/>
          <w:szCs w:val="32"/>
          <w:lang w:val="en-US" w:eastAsia="zh-CN" w:bidi="ar"/>
        </w:rPr>
        <w:t>5</w:t>
      </w:r>
      <w:r>
        <w:rPr>
          <w:rFonts w:hint="default" w:ascii="仿宋_GB2312" w:hAnsi="宋体" w:eastAsia="仿宋_GB2312" w:cs="仿宋_GB2312"/>
          <w:spacing w:val="-13"/>
          <w:kern w:val="0"/>
          <w:sz w:val="32"/>
          <w:szCs w:val="32"/>
          <w:lang w:val="en-US" w:eastAsia="zh-CN" w:bidi="ar"/>
        </w:rPr>
        <w:t>.第二批国家级一流本科课程申报书</w:t>
      </w:r>
    </w:p>
    <w:p>
      <w:pPr>
        <w:pStyle w:val="3"/>
        <w:keepNext w:val="0"/>
        <w:keepLines w:val="0"/>
        <w:widowControl w:val="0"/>
        <w:suppressLineNumbers w:val="0"/>
        <w:autoSpaceDE w:val="0"/>
        <w:autoSpaceDN w:val="0"/>
        <w:spacing w:before="0" w:beforeAutospacing="0" w:after="0" w:afterAutospacing="0" w:line="560" w:lineRule="exact"/>
        <w:ind w:left="111" w:right="271" w:firstLine="638"/>
        <w:jc w:val="both"/>
        <w:rPr>
          <w:rFonts w:hint="default" w:ascii="仿宋_GB2312" w:eastAsia="仿宋_GB2312" w:cs="仿宋_GB2312"/>
          <w:sz w:val="32"/>
          <w:szCs w:val="32"/>
        </w:rPr>
      </w:pPr>
      <w:r>
        <w:rPr>
          <w:rFonts w:hint="eastAsia" w:ascii="仿宋_GB2312" w:eastAsia="仿宋_GB2312" w:cs="仿宋_GB2312"/>
          <w:spacing w:val="-13"/>
          <w:kern w:val="0"/>
          <w:sz w:val="32"/>
          <w:szCs w:val="32"/>
          <w:lang w:val="en-US" w:eastAsia="zh-CN" w:bidi="ar"/>
        </w:rPr>
        <w:t>6</w:t>
      </w:r>
      <w:r>
        <w:rPr>
          <w:rFonts w:hint="default" w:ascii="仿宋_GB2312" w:hAnsi="宋体" w:eastAsia="仿宋_GB2312" w:cs="仿宋_GB2312"/>
          <w:spacing w:val="-13"/>
          <w:kern w:val="0"/>
          <w:sz w:val="32"/>
          <w:szCs w:val="32"/>
          <w:lang w:val="en-US" w:eastAsia="zh-CN" w:bidi="ar"/>
        </w:rPr>
        <w:t>.第二批国家级一流本科课程申报推荐汇总表</w:t>
      </w:r>
    </w:p>
    <w:p>
      <w:pPr>
        <w:pStyle w:val="3"/>
        <w:widowControl/>
        <w:spacing w:before="0" w:beforeAutospacing="0" w:after="0" w:afterAutospacing="0" w:line="480" w:lineRule="exact"/>
        <w:ind w:left="0" w:right="0" w:firstLine="640" w:firstLineChars="200"/>
        <w:jc w:val="both"/>
        <w:rPr>
          <w:rFonts w:hint="default" w:ascii="仿宋_GB2312" w:hAnsi="宋体" w:eastAsia="仿宋_GB2312" w:cs="宋体"/>
          <w:color w:val="000000"/>
          <w:sz w:val="32"/>
          <w:szCs w:val="32"/>
          <w:shd w:val="clear" w:color="auto" w:fill="FFFFFF"/>
          <w:lang w:val="en-US" w:eastAsia="zh-CN" w:bidi="ar"/>
        </w:rPr>
      </w:pPr>
      <w:r>
        <w:rPr>
          <w:rFonts w:hint="default" w:ascii="仿宋_GB2312" w:hAnsi="宋体" w:eastAsia="仿宋_GB2312" w:cs="宋体"/>
          <w:color w:val="000000"/>
          <w:sz w:val="32"/>
          <w:szCs w:val="32"/>
          <w:shd w:val="clear" w:color="auto" w:fill="FFFFFF"/>
          <w:lang w:val="en-US" w:eastAsia="zh-CN" w:bidi="ar"/>
        </w:rPr>
        <w:t> </w:t>
      </w:r>
    </w:p>
    <w:p>
      <w:pPr>
        <w:pStyle w:val="3"/>
        <w:widowControl/>
        <w:spacing w:before="0" w:beforeAutospacing="0" w:after="0" w:afterAutospacing="0" w:line="480" w:lineRule="exact"/>
        <w:ind w:left="0" w:right="0" w:firstLine="640" w:firstLineChars="200"/>
        <w:jc w:val="both"/>
        <w:rPr>
          <w:rFonts w:hint="default" w:ascii="仿宋_GB2312" w:hAnsi="宋体" w:eastAsia="仿宋_GB2312" w:cs="宋体"/>
          <w:color w:val="000000"/>
          <w:sz w:val="32"/>
          <w:szCs w:val="32"/>
          <w:shd w:val="clear" w:color="auto" w:fill="FFFFFF"/>
          <w:lang w:val="en-US" w:eastAsia="zh-CN" w:bidi="ar"/>
        </w:rPr>
      </w:pPr>
    </w:p>
    <w:p>
      <w:pPr>
        <w:pStyle w:val="3"/>
        <w:widowControl/>
        <w:spacing w:before="0" w:beforeAutospacing="0" w:after="0" w:afterAutospacing="0" w:line="480" w:lineRule="exact"/>
        <w:ind w:left="0" w:right="0" w:firstLine="640" w:firstLineChars="200"/>
        <w:jc w:val="both"/>
        <w:rPr>
          <w:rFonts w:hint="eastAsia" w:ascii="仿宋_GB2312" w:hAnsi="宋体" w:eastAsia="仿宋_GB2312" w:cs="宋体"/>
          <w:color w:val="000000"/>
          <w:sz w:val="32"/>
          <w:szCs w:val="32"/>
          <w:shd w:val="clear" w:color="auto" w:fill="FFFFFF"/>
          <w:lang w:bidi="ar"/>
        </w:rPr>
      </w:pPr>
      <w:r>
        <w:rPr>
          <w:rFonts w:hint="eastAsia" w:ascii="仿宋_GB2312" w:hAnsi="宋体" w:eastAsia="仿宋_GB2312" w:cs="宋体"/>
          <w:color w:val="000000"/>
          <w:sz w:val="32"/>
          <w:szCs w:val="32"/>
          <w:shd w:val="clear" w:color="auto" w:fill="FFFFFF"/>
          <w:lang w:val="en-US" w:eastAsia="zh-CN" w:bidi="ar"/>
        </w:rPr>
        <w:t xml:space="preserve">                                </w:t>
      </w:r>
      <w:r>
        <w:rPr>
          <w:rFonts w:hint="default" w:ascii="仿宋_GB2312" w:hAnsi="宋体" w:eastAsia="仿宋_GB2312" w:cs="宋体"/>
          <w:color w:val="000000"/>
          <w:sz w:val="32"/>
          <w:szCs w:val="32"/>
          <w:shd w:val="clear" w:color="auto" w:fill="FFFFFF"/>
          <w:lang w:val="en-US" w:eastAsia="zh-CN" w:bidi="ar"/>
        </w:rPr>
        <w:t>教务处</w:t>
      </w:r>
    </w:p>
    <w:p>
      <w:pPr>
        <w:pStyle w:val="3"/>
        <w:widowControl/>
        <w:tabs>
          <w:tab w:val="left" w:pos="7560"/>
        </w:tabs>
        <w:spacing w:before="0" w:beforeAutospacing="0" w:after="0" w:afterAutospacing="0" w:line="480" w:lineRule="exact"/>
        <w:ind w:left="0" w:right="0" w:firstLine="5120" w:firstLineChars="1600"/>
        <w:jc w:val="both"/>
        <w:rPr>
          <w:rFonts w:hint="default" w:ascii="仿宋_GB2312" w:hAnsi="宋体" w:eastAsia="仿宋_GB2312" w:cs="宋体"/>
          <w:color w:val="000000"/>
          <w:sz w:val="32"/>
          <w:szCs w:val="32"/>
          <w:shd w:val="clear" w:color="auto" w:fill="FFFFFF"/>
          <w:lang w:val="en-US" w:eastAsia="zh-CN" w:bidi="ar"/>
        </w:rPr>
      </w:pPr>
      <w:r>
        <w:rPr>
          <w:rFonts w:hint="default" w:ascii="仿宋_GB2312" w:hAnsi="宋体" w:eastAsia="仿宋_GB2312" w:cs="宋体"/>
          <w:color w:val="000000"/>
          <w:sz w:val="32"/>
          <w:szCs w:val="32"/>
          <w:shd w:val="clear" w:color="auto" w:fill="FFFFFF"/>
          <w:lang w:val="en-US" w:eastAsia="zh-CN" w:bidi="ar"/>
        </w:rPr>
        <w:t>202</w:t>
      </w:r>
      <w:r>
        <w:rPr>
          <w:rFonts w:hint="eastAsia" w:ascii="仿宋_GB2312" w:hAnsi="宋体" w:eastAsia="仿宋_GB2312" w:cs="宋体"/>
          <w:color w:val="000000"/>
          <w:sz w:val="32"/>
          <w:szCs w:val="32"/>
          <w:shd w:val="clear" w:color="auto" w:fill="FFFFFF"/>
          <w:lang w:val="en-US" w:eastAsia="zh-CN" w:bidi="ar"/>
        </w:rPr>
        <w:t>1</w:t>
      </w:r>
      <w:r>
        <w:rPr>
          <w:rFonts w:hint="default" w:ascii="仿宋_GB2312" w:hAnsi="宋体" w:eastAsia="仿宋_GB2312" w:cs="宋体"/>
          <w:color w:val="000000"/>
          <w:sz w:val="32"/>
          <w:szCs w:val="32"/>
          <w:shd w:val="clear" w:color="auto" w:fill="FFFFFF"/>
          <w:lang w:val="en-US" w:eastAsia="zh-CN" w:bidi="ar"/>
        </w:rPr>
        <w:t>年</w:t>
      </w:r>
      <w:r>
        <w:rPr>
          <w:rFonts w:hint="eastAsia" w:ascii="仿宋_GB2312" w:eastAsia="仿宋_GB2312" w:cs="宋体"/>
          <w:color w:val="000000"/>
          <w:sz w:val="32"/>
          <w:szCs w:val="32"/>
          <w:shd w:val="clear" w:color="auto" w:fill="FFFFFF"/>
          <w:lang w:val="en-US" w:eastAsia="zh-CN" w:bidi="ar"/>
        </w:rPr>
        <w:t>4</w:t>
      </w:r>
      <w:r>
        <w:rPr>
          <w:rFonts w:hint="default" w:ascii="仿宋_GB2312" w:hAnsi="宋体" w:eastAsia="仿宋_GB2312" w:cs="宋体"/>
          <w:color w:val="000000"/>
          <w:sz w:val="32"/>
          <w:szCs w:val="32"/>
          <w:shd w:val="clear" w:color="auto" w:fill="FFFFFF"/>
          <w:lang w:val="en-US" w:eastAsia="zh-CN" w:bidi="ar"/>
        </w:rPr>
        <w:t>月</w:t>
      </w:r>
      <w:r>
        <w:rPr>
          <w:rFonts w:hint="eastAsia" w:ascii="仿宋_GB2312" w:eastAsia="仿宋_GB2312" w:cs="宋体"/>
          <w:color w:val="000000"/>
          <w:sz w:val="32"/>
          <w:szCs w:val="32"/>
          <w:shd w:val="clear" w:color="auto" w:fill="FFFFFF"/>
          <w:lang w:val="en-US" w:eastAsia="zh-CN" w:bidi="ar"/>
        </w:rPr>
        <w:t>27</w:t>
      </w:r>
      <w:r>
        <w:rPr>
          <w:rFonts w:hint="default" w:ascii="仿宋_GB2312" w:hAnsi="宋体" w:eastAsia="仿宋_GB2312" w:cs="宋体"/>
          <w:color w:val="000000"/>
          <w:sz w:val="32"/>
          <w:szCs w:val="32"/>
          <w:shd w:val="clear" w:color="auto" w:fill="FFFFFF"/>
          <w:lang w:val="en-US" w:eastAsia="zh-CN" w:bidi="ar"/>
        </w:rPr>
        <w:t>日</w:t>
      </w:r>
    </w:p>
    <w:p>
      <w:pPr>
        <w:rPr>
          <w:rFonts w:hint="default" w:ascii="仿宋_GB2312" w:eastAsia="仿宋_GB2312" w:cs="宋体"/>
          <w:color w:val="000000"/>
          <w:sz w:val="32"/>
          <w:szCs w:val="32"/>
          <w:shd w:val="clear" w:color="auto"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A40711"/>
    <w:multiLevelType w:val="multilevel"/>
    <w:tmpl w:val="D7A40711"/>
    <w:lvl w:ilvl="0" w:tentative="0">
      <w:start w:val="3"/>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011D7"/>
    <w:rsid w:val="052E2B5C"/>
    <w:rsid w:val="05995E1B"/>
    <w:rsid w:val="081108F4"/>
    <w:rsid w:val="08BE3D23"/>
    <w:rsid w:val="09BD7A2D"/>
    <w:rsid w:val="0D935C13"/>
    <w:rsid w:val="0EC5000F"/>
    <w:rsid w:val="1201799D"/>
    <w:rsid w:val="15DF1CE1"/>
    <w:rsid w:val="178F5721"/>
    <w:rsid w:val="1BFE578F"/>
    <w:rsid w:val="1DF011D7"/>
    <w:rsid w:val="1E1F352A"/>
    <w:rsid w:val="1F180771"/>
    <w:rsid w:val="23C24BEB"/>
    <w:rsid w:val="23F076B1"/>
    <w:rsid w:val="2C6440C7"/>
    <w:rsid w:val="2F9C14FF"/>
    <w:rsid w:val="3A1248C9"/>
    <w:rsid w:val="3C055D12"/>
    <w:rsid w:val="3E834A9E"/>
    <w:rsid w:val="3F851853"/>
    <w:rsid w:val="40DC6386"/>
    <w:rsid w:val="412A15C6"/>
    <w:rsid w:val="42FC258C"/>
    <w:rsid w:val="439767F6"/>
    <w:rsid w:val="47F134F8"/>
    <w:rsid w:val="49F82E34"/>
    <w:rsid w:val="4A037758"/>
    <w:rsid w:val="4C1D3350"/>
    <w:rsid w:val="4C3C0A93"/>
    <w:rsid w:val="528B2448"/>
    <w:rsid w:val="53166649"/>
    <w:rsid w:val="53B3776A"/>
    <w:rsid w:val="555056F7"/>
    <w:rsid w:val="564D466C"/>
    <w:rsid w:val="567816DA"/>
    <w:rsid w:val="578A4D74"/>
    <w:rsid w:val="58B774D8"/>
    <w:rsid w:val="5B382A52"/>
    <w:rsid w:val="5D09146B"/>
    <w:rsid w:val="5D842991"/>
    <w:rsid w:val="5D880E5B"/>
    <w:rsid w:val="5DAE185C"/>
    <w:rsid w:val="633D6B84"/>
    <w:rsid w:val="63491001"/>
    <w:rsid w:val="63CD5FA6"/>
    <w:rsid w:val="668505A2"/>
    <w:rsid w:val="6AEC7ED2"/>
    <w:rsid w:val="6D4A3435"/>
    <w:rsid w:val="6DBE63BD"/>
    <w:rsid w:val="6EF007C7"/>
    <w:rsid w:val="6F133B52"/>
    <w:rsid w:val="70C87DA9"/>
    <w:rsid w:val="727D44D0"/>
    <w:rsid w:val="7F087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2021-04-20T07:43:00Z</dcterms:created>
  <dc:creator>宁昭甫</dc:creator>
  <cp:lastModifiedBy>邵尚</cp:lastModifiedBy>
  <dcterms:modified xsi:type="dcterms:W3CDTF">2021-04-27T07:05:54Z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9FC07D1113284D669E4EFF8D2C10E82B</vt:lpwstr>
  </property>
</Properties>
</file>