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eastAsia="黑体"/>
          <w:bCs/>
          <w:color w:val="000000"/>
          <w:sz w:val="32"/>
          <w:szCs w:val="32"/>
        </w:rPr>
      </w:pPr>
      <w:r>
        <w:rPr>
          <w:rFonts w:hint="eastAsia" w:eastAsia="黑体"/>
          <w:bCs/>
          <w:color w:val="000000"/>
          <w:sz w:val="32"/>
          <w:szCs w:val="32"/>
        </w:rPr>
        <w:t>附件3：</w:t>
      </w:r>
    </w:p>
    <w:p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湖南女子学院2021年课程思政教学比赛</w:t>
      </w:r>
    </w:p>
    <w:p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报名表</w:t>
      </w:r>
    </w:p>
    <w:tbl>
      <w:tblPr>
        <w:tblStyle w:val="4"/>
        <w:tblW w:w="104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367"/>
        <w:gridCol w:w="2791"/>
        <w:gridCol w:w="1701"/>
        <w:gridCol w:w="1701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31" w:type="dxa"/>
            <w:vMerge w:val="restart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_GB2312" w:hAnsi="MS Mincho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MS Mincho" w:eastAsia="仿宋_GB2312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367" w:type="dxa"/>
            <w:vMerge w:val="restart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_GB2312" w:hAnsi="MS Mincho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MS Mincho" w:eastAsia="仿宋_GB2312"/>
                <w:b/>
                <w:kern w:val="0"/>
                <w:sz w:val="28"/>
                <w:szCs w:val="28"/>
              </w:rPr>
              <w:t>参赛教师（团队）</w:t>
            </w:r>
          </w:p>
        </w:tc>
        <w:tc>
          <w:tcPr>
            <w:tcW w:w="2791" w:type="dxa"/>
            <w:vMerge w:val="restart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MS Mincho" w:eastAsia="仿宋_GB2312"/>
                <w:b/>
                <w:kern w:val="0"/>
                <w:sz w:val="28"/>
                <w:szCs w:val="28"/>
              </w:rPr>
              <w:t>院</w:t>
            </w:r>
            <w:r>
              <w:rPr>
                <w:rFonts w:hint="eastAsia" w:eastAsia="仿宋_GB2312"/>
                <w:b/>
                <w:kern w:val="0"/>
                <w:sz w:val="28"/>
                <w:szCs w:val="28"/>
              </w:rPr>
              <w:t>（部）</w:t>
            </w:r>
          </w:p>
        </w:tc>
        <w:tc>
          <w:tcPr>
            <w:tcW w:w="3402" w:type="dxa"/>
            <w:gridSpan w:val="2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_GB2312" w:hAnsi="MS Mincho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MS Mincho" w:eastAsia="仿宋_GB2312"/>
                <w:b/>
                <w:kern w:val="0"/>
                <w:sz w:val="28"/>
                <w:szCs w:val="28"/>
              </w:rPr>
              <w:t>参赛分类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_GB2312" w:hAnsi="MS Mincho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MS Mincho" w:eastAsia="仿宋_GB2312"/>
                <w:b/>
                <w:kern w:val="0"/>
                <w:sz w:val="28"/>
                <w:szCs w:val="28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_GB2312" w:hAnsi="MS Mincho" w:eastAsia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367" w:type="dxa"/>
            <w:vMerge w:val="continue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_GB2312" w:hAnsi="MS Mincho" w:eastAsia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2791" w:type="dxa"/>
            <w:vMerge w:val="continue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_GB2312" w:hAnsi="MS Mincho" w:eastAsia="仿宋_GB2312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_GB2312" w:hAnsi="MS Mincho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MS Mincho" w:eastAsia="仿宋_GB2312"/>
                <w:b/>
                <w:kern w:val="0"/>
                <w:sz w:val="28"/>
                <w:szCs w:val="28"/>
              </w:rPr>
              <w:t>参赛类别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_GB2312" w:hAnsi="MS Mincho"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MS Mincho" w:eastAsia="仿宋_GB2312"/>
                <w:b/>
                <w:kern w:val="0"/>
                <w:sz w:val="28"/>
                <w:szCs w:val="28"/>
              </w:rPr>
              <w:t>参赛组别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_GB2312" w:hAnsi="MS Mincho" w:eastAsia="仿宋_GB2312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3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367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79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3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367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79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3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367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79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3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367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79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3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367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79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3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367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79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3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367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279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984" w:type="dxa"/>
          </w:tcPr>
          <w:p>
            <w:pPr>
              <w:spacing w:line="400" w:lineRule="exact"/>
              <w:outlineLvl w:val="0"/>
              <w:rPr>
                <w:rFonts w:ascii="仿宋_GB2312" w:hAnsi="MS Mincho" w:eastAsia="仿宋_GB2312"/>
                <w:bCs/>
                <w:kern w:val="0"/>
                <w:sz w:val="32"/>
                <w:szCs w:val="32"/>
              </w:rPr>
            </w:pPr>
          </w:p>
        </w:tc>
      </w:tr>
    </w:tbl>
    <w:p>
      <w:pPr>
        <w:spacing w:line="58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hint="eastAsia" w:eastAsia="仿宋_GB2312"/>
          <w:bCs/>
          <w:color w:val="000000"/>
          <w:sz w:val="32"/>
          <w:szCs w:val="32"/>
        </w:rPr>
        <w:t xml:space="preserve">说明：  </w:t>
      </w:r>
    </w:p>
    <w:p>
      <w:pPr>
        <w:spacing w:line="58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r>
        <w:rPr>
          <w:rFonts w:hint="eastAsia" w:eastAsia="仿宋_GB2312"/>
          <w:bCs/>
          <w:color w:val="000000"/>
          <w:sz w:val="32"/>
          <w:szCs w:val="32"/>
        </w:rPr>
        <w:t>1.参赛类别分文科类、理工类、英语类；</w:t>
      </w:r>
    </w:p>
    <w:p>
      <w:pPr>
        <w:spacing w:line="580" w:lineRule="exact"/>
        <w:ind w:firstLine="640" w:firstLineChars="200"/>
        <w:rPr>
          <w:rFonts w:hint="eastAsia" w:eastAsia="仿宋_GB2312"/>
          <w:bCs/>
          <w:color w:val="000000"/>
          <w:sz w:val="32"/>
          <w:szCs w:val="32"/>
          <w:lang w:eastAsia="zh-CN"/>
        </w:rPr>
      </w:pPr>
      <w:r>
        <w:rPr>
          <w:rFonts w:hint="eastAsia" w:eastAsia="仿宋_GB2312"/>
          <w:bCs/>
          <w:color w:val="000000"/>
          <w:sz w:val="32"/>
          <w:szCs w:val="32"/>
        </w:rPr>
        <w:t>2.参赛组别：文科类分人文社科组和经济管理组两个组别参赛，理工类分基础课组和专业课组两个组别参赛，外语类分大学英语组和英语专业类组两个组别参赛</w:t>
      </w:r>
      <w:r>
        <w:rPr>
          <w:rFonts w:hint="eastAsia" w:eastAsia="仿宋_GB2312"/>
          <w:bCs/>
          <w:color w:val="000000"/>
          <w:sz w:val="32"/>
          <w:szCs w:val="32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eastAsia="仿宋_GB2312"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eastAsia="仿宋_GB2312"/>
          <w:bCs/>
          <w:color w:val="000000"/>
          <w:sz w:val="32"/>
          <w:szCs w:val="32"/>
        </w:rPr>
        <w:t>3</w:t>
      </w:r>
      <w:r>
        <w:rPr>
          <w:rFonts w:hint="eastAsia" w:eastAsia="仿宋_GB2312"/>
          <w:b/>
          <w:color w:val="000000"/>
          <w:sz w:val="32"/>
          <w:szCs w:val="32"/>
        </w:rPr>
        <w:t>.组别选择主要用于推荐参加省级比赛时报名使用；</w:t>
      </w:r>
    </w:p>
    <w:p>
      <w:pPr>
        <w:spacing w:line="580" w:lineRule="exact"/>
        <w:ind w:firstLine="640" w:firstLineChars="200"/>
        <w:rPr>
          <w:rFonts w:ascii="宋体" w:hAnsi="宋体" w:cs="宋体"/>
          <w:color w:val="220900"/>
          <w:kern w:val="0"/>
          <w:sz w:val="28"/>
          <w:szCs w:val="28"/>
        </w:rPr>
      </w:pPr>
      <w:r>
        <w:rPr>
          <w:rFonts w:hint="eastAsia" w:eastAsia="仿宋_GB2312"/>
          <w:bCs/>
          <w:color w:val="000000"/>
          <w:sz w:val="32"/>
          <w:szCs w:val="32"/>
        </w:rPr>
        <w:t xml:space="preserve">4.推荐参加湖南省课程思政教学竞赛复赛共6人。推荐参加湖南省普通高校课程思政教学竞赛复赛的规则：在报名各组的人员中，选择成绩最好的1名教师参加湖南省普通高校课程思政教学竞赛复赛。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2C2297"/>
    <w:rsid w:val="25050ABB"/>
    <w:rsid w:val="5B2C2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2021-03-30T00:38:00Z</dcterms:created>
  <dc:creator>宁昭甫</dc:creator>
  <cp:lastModifiedBy>宁昭甫</cp:lastModifiedBy>
  <dcterms:modified xsi:type="dcterms:W3CDTF">2021-03-30T01:45:13Z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3D53C9175FF64E4E97F745AC8D130721</vt:lpwstr>
  </property>
</Properties>
</file>