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eastAsia="黑体"/>
          <w:bCs/>
          <w:color w:val="000000"/>
          <w:sz w:val="32"/>
          <w:szCs w:val="32"/>
        </w:rPr>
      </w:pPr>
      <w:r>
        <w:rPr>
          <w:rFonts w:hint="eastAsia" w:eastAsia="黑体"/>
          <w:bCs/>
          <w:color w:val="000000"/>
          <w:sz w:val="32"/>
          <w:szCs w:val="32"/>
        </w:rPr>
        <w:t>附件:6：评分标准</w:t>
      </w:r>
    </w:p>
    <w:p>
      <w:pPr>
        <w:spacing w:line="520" w:lineRule="exact"/>
        <w:rPr>
          <w:rFonts w:ascii="楷体" w:hAnsi="楷体" w:eastAsia="楷体"/>
          <w:color w:val="000000"/>
          <w:sz w:val="32"/>
          <w:szCs w:val="32"/>
        </w:rPr>
      </w:pPr>
      <w:bookmarkStart w:id="0" w:name="_GoBack"/>
      <w:bookmarkEnd w:id="0"/>
      <w:r>
        <w:rPr>
          <w:rFonts w:ascii="楷体" w:hAnsi="楷体" w:eastAsia="楷体"/>
          <w:color w:val="000000"/>
          <w:sz w:val="32"/>
          <w:szCs w:val="32"/>
        </w:rPr>
        <w:t>（一）</w:t>
      </w:r>
      <w:r>
        <w:rPr>
          <w:rFonts w:hint="eastAsia" w:ascii="楷体" w:hAnsi="楷体" w:eastAsia="楷体"/>
          <w:color w:val="000000"/>
          <w:sz w:val="32"/>
          <w:szCs w:val="32"/>
        </w:rPr>
        <w:t>课程思政教学比赛</w:t>
      </w:r>
      <w:r>
        <w:rPr>
          <w:rFonts w:ascii="楷体" w:hAnsi="楷体" w:eastAsia="楷体"/>
          <w:color w:val="000000"/>
          <w:sz w:val="32"/>
          <w:szCs w:val="32"/>
        </w:rPr>
        <w:t>课堂教学设计作品评分标准（100分）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6412"/>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blHeader/>
          <w:jc w:val="center"/>
        </w:trPr>
        <w:tc>
          <w:tcPr>
            <w:tcW w:w="1433" w:type="dxa"/>
            <w:tcBorders>
              <w:top w:val="single" w:color="auto" w:sz="4" w:space="0"/>
              <w:left w:val="single" w:color="auto" w:sz="4" w:space="0"/>
              <w:bottom w:val="single" w:color="auto" w:sz="4" w:space="0"/>
              <w:right w:val="single" w:color="auto" w:sz="4" w:space="0"/>
            </w:tcBorders>
            <w:vAlign w:val="center"/>
          </w:tcPr>
          <w:p>
            <w:pPr>
              <w:snapToGrid w:val="0"/>
              <w:jc w:val="center"/>
              <w:rPr>
                <w:b/>
                <w:color w:val="000000"/>
                <w:sz w:val="24"/>
              </w:rPr>
            </w:pPr>
            <w:r>
              <w:rPr>
                <w:b/>
                <w:color w:val="000000"/>
                <w:sz w:val="24"/>
              </w:rPr>
              <w:t>评价</w:t>
            </w:r>
          </w:p>
          <w:p>
            <w:pPr>
              <w:snapToGrid w:val="0"/>
              <w:jc w:val="center"/>
              <w:rPr>
                <w:b/>
                <w:color w:val="000000"/>
                <w:sz w:val="24"/>
              </w:rPr>
            </w:pPr>
            <w:r>
              <w:rPr>
                <w:b/>
                <w:color w:val="000000"/>
                <w:sz w:val="24"/>
              </w:rPr>
              <w:t>指标</w:t>
            </w:r>
          </w:p>
        </w:tc>
        <w:tc>
          <w:tcPr>
            <w:tcW w:w="6412" w:type="dxa"/>
            <w:tcBorders>
              <w:top w:val="single" w:color="auto" w:sz="4" w:space="0"/>
              <w:left w:val="single" w:color="auto" w:sz="4" w:space="0"/>
              <w:bottom w:val="single" w:color="auto" w:sz="4" w:space="0"/>
              <w:right w:val="single" w:color="auto" w:sz="4" w:space="0"/>
            </w:tcBorders>
            <w:vAlign w:val="center"/>
          </w:tcPr>
          <w:p>
            <w:pPr>
              <w:snapToGrid w:val="0"/>
              <w:jc w:val="center"/>
              <w:rPr>
                <w:b/>
                <w:color w:val="000000"/>
                <w:sz w:val="24"/>
              </w:rPr>
            </w:pPr>
            <w:r>
              <w:rPr>
                <w:b/>
                <w:color w:val="000000"/>
                <w:sz w:val="24"/>
              </w:rPr>
              <w:t>具体内容</w:t>
            </w:r>
          </w:p>
        </w:tc>
        <w:tc>
          <w:tcPr>
            <w:tcW w:w="880" w:type="dxa"/>
            <w:tcBorders>
              <w:top w:val="single" w:color="auto" w:sz="4" w:space="0"/>
              <w:left w:val="single" w:color="auto" w:sz="4" w:space="0"/>
              <w:bottom w:val="single" w:color="auto" w:sz="4" w:space="0"/>
              <w:right w:val="single" w:color="auto" w:sz="4" w:space="0"/>
            </w:tcBorders>
            <w:vAlign w:val="center"/>
          </w:tcPr>
          <w:p>
            <w:pPr>
              <w:snapToGrid w:val="0"/>
              <w:jc w:val="center"/>
              <w:rPr>
                <w:b/>
                <w:color w:val="000000"/>
                <w:sz w:val="24"/>
              </w:rPr>
            </w:pPr>
            <w:r>
              <w:rPr>
                <w:b/>
                <w:color w:val="000000"/>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1" w:hRule="atLeast"/>
          <w:jc w:val="center"/>
        </w:trPr>
        <w:tc>
          <w:tcPr>
            <w:tcW w:w="143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教学</w:t>
            </w:r>
          </w:p>
          <w:p>
            <w:pPr>
              <w:snapToGrid w:val="0"/>
              <w:jc w:val="center"/>
              <w:rPr>
                <w:color w:val="000000"/>
                <w:sz w:val="24"/>
              </w:rPr>
            </w:pPr>
            <w:r>
              <w:rPr>
                <w:color w:val="000000"/>
                <w:sz w:val="24"/>
              </w:rPr>
              <w:t>内容</w:t>
            </w:r>
          </w:p>
        </w:tc>
        <w:tc>
          <w:tcPr>
            <w:tcW w:w="6412"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教学信息量充足，符合学生认知规律，具有较好的“高阶性”、“创新性”和一定的“挑战度”。运用思想政治理论教育的学科思维处理教材，组织教学内容，融入政治认同、家国情怀、文化素养、宪法法治意识、道德修养等要素，潜移默化地对学生的思想意识、行为举止产生积极影响，实现价值塑造、知识传授和能力培养相融合、教书与育人相统一。</w:t>
            </w:r>
          </w:p>
        </w:tc>
        <w:tc>
          <w:tcPr>
            <w:tcW w:w="880"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 xml:space="preserve"> 教学方法与手段</w:t>
            </w:r>
          </w:p>
        </w:tc>
        <w:tc>
          <w:tcPr>
            <w:tcW w:w="641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sz w:val="24"/>
              </w:rPr>
            </w:pPr>
            <w:r>
              <w:rPr>
                <w:color w:val="000000"/>
                <w:sz w:val="24"/>
              </w:rPr>
              <w:t>讲授、讨论、探究、项目、案例、实验等教学方法恰当使用，多媒体、虚拟仿真、计算机网络等教学手段有效运用。</w:t>
            </w:r>
          </w:p>
        </w:tc>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教学</w:t>
            </w:r>
          </w:p>
          <w:p>
            <w:pPr>
              <w:snapToGrid w:val="0"/>
              <w:jc w:val="center"/>
              <w:rPr>
                <w:color w:val="000000"/>
                <w:sz w:val="24"/>
              </w:rPr>
            </w:pPr>
            <w:r>
              <w:rPr>
                <w:color w:val="000000"/>
                <w:sz w:val="24"/>
              </w:rPr>
              <w:t>目标</w:t>
            </w:r>
          </w:p>
        </w:tc>
        <w:tc>
          <w:tcPr>
            <w:tcW w:w="6412"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目标设计恰当，符合课程要求、学科特点和学生实际；明确具体、可观察、可测评、可达成；思政目标无缝对接知识、能力目标。</w:t>
            </w:r>
          </w:p>
        </w:tc>
        <w:tc>
          <w:tcPr>
            <w:tcW w:w="880"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top w:val="single" w:color="auto" w:sz="4" w:space="0"/>
              <w:left w:val="single" w:color="auto" w:sz="4" w:space="0"/>
              <w:right w:val="single" w:color="auto" w:sz="4" w:space="0"/>
            </w:tcBorders>
            <w:vAlign w:val="center"/>
          </w:tcPr>
          <w:p>
            <w:pPr>
              <w:spacing w:line="400" w:lineRule="exact"/>
              <w:jc w:val="center"/>
              <w:rPr>
                <w:color w:val="000000"/>
                <w:sz w:val="24"/>
              </w:rPr>
            </w:pPr>
            <w:r>
              <w:rPr>
                <w:color w:val="000000"/>
                <w:sz w:val="24"/>
              </w:rPr>
              <w:t>教学评价</w:t>
            </w:r>
          </w:p>
        </w:tc>
        <w:tc>
          <w:tcPr>
            <w:tcW w:w="641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sz w:val="24"/>
              </w:rPr>
            </w:pPr>
            <w:r>
              <w:rPr>
                <w:color w:val="000000"/>
                <w:sz w:val="24"/>
              </w:rPr>
              <w:t>评价主体多元；注重过程；提问、课堂观察、作业、问卷、访谈等评价方法恰当，引导、激励学生学习。</w:t>
            </w:r>
          </w:p>
        </w:tc>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top w:val="single" w:color="auto" w:sz="4" w:space="0"/>
              <w:left w:val="single" w:color="auto" w:sz="4" w:space="0"/>
              <w:right w:val="single" w:color="auto" w:sz="4" w:space="0"/>
            </w:tcBorders>
            <w:vAlign w:val="center"/>
          </w:tcPr>
          <w:p>
            <w:pPr>
              <w:spacing w:line="400" w:lineRule="exact"/>
              <w:jc w:val="center"/>
              <w:rPr>
                <w:color w:val="000000"/>
                <w:sz w:val="24"/>
              </w:rPr>
            </w:pPr>
            <w:r>
              <w:rPr>
                <w:color w:val="000000"/>
                <w:sz w:val="24"/>
              </w:rPr>
              <w:t>教学反思</w:t>
            </w:r>
          </w:p>
        </w:tc>
        <w:tc>
          <w:tcPr>
            <w:tcW w:w="641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sz w:val="24"/>
              </w:rPr>
            </w:pPr>
            <w:r>
              <w:rPr>
                <w:color w:val="000000"/>
                <w:sz w:val="24"/>
              </w:rPr>
              <w:t>能够对教学内容（包含课程思政内容）和过程进行梳理和反思，并做到适时调整，能够提出改进教学的方法。</w:t>
            </w:r>
          </w:p>
        </w:tc>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top w:val="single" w:color="auto" w:sz="4" w:space="0"/>
              <w:left w:val="single" w:color="auto" w:sz="4" w:space="0"/>
              <w:right w:val="single" w:color="auto" w:sz="4" w:space="0"/>
            </w:tcBorders>
            <w:vAlign w:val="center"/>
          </w:tcPr>
          <w:p>
            <w:pPr>
              <w:spacing w:line="400" w:lineRule="exact"/>
              <w:jc w:val="center"/>
              <w:rPr>
                <w:color w:val="000000"/>
                <w:sz w:val="24"/>
              </w:rPr>
            </w:pPr>
            <w:r>
              <w:rPr>
                <w:color w:val="000000"/>
                <w:sz w:val="24"/>
              </w:rPr>
              <w:t>教材分析</w:t>
            </w:r>
          </w:p>
        </w:tc>
        <w:tc>
          <w:tcPr>
            <w:tcW w:w="641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sz w:val="24"/>
              </w:rPr>
            </w:pPr>
            <w:r>
              <w:rPr>
                <w:color w:val="000000"/>
                <w:sz w:val="24"/>
              </w:rPr>
              <w:t>对本设计涉及到的教材内容及其作用作简明扼要的分析，为教学思路、重难点等内容的确定提供依据。</w:t>
            </w:r>
          </w:p>
        </w:tc>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left w:val="single" w:color="auto" w:sz="4" w:space="0"/>
              <w:right w:val="single" w:color="auto" w:sz="4" w:space="0"/>
            </w:tcBorders>
            <w:vAlign w:val="center"/>
          </w:tcPr>
          <w:p>
            <w:pPr>
              <w:spacing w:line="400" w:lineRule="exact"/>
              <w:jc w:val="center"/>
              <w:rPr>
                <w:color w:val="000000"/>
                <w:sz w:val="24"/>
              </w:rPr>
            </w:pPr>
            <w:r>
              <w:rPr>
                <w:color w:val="000000"/>
                <w:sz w:val="24"/>
              </w:rPr>
              <w:t>学情分析</w:t>
            </w:r>
          </w:p>
        </w:tc>
        <w:tc>
          <w:tcPr>
            <w:tcW w:w="641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sz w:val="24"/>
              </w:rPr>
            </w:pPr>
            <w:r>
              <w:rPr>
                <w:color w:val="000000"/>
                <w:sz w:val="24"/>
              </w:rPr>
              <w:t>对学生学科知识、认知特征和情感态度等内容进行精准分析。</w:t>
            </w:r>
          </w:p>
        </w:tc>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left w:val="single" w:color="auto" w:sz="4" w:space="0"/>
              <w:right w:val="single" w:color="auto" w:sz="4" w:space="0"/>
            </w:tcBorders>
            <w:vAlign w:val="center"/>
          </w:tcPr>
          <w:p>
            <w:pPr>
              <w:spacing w:line="400" w:lineRule="exact"/>
              <w:jc w:val="center"/>
              <w:rPr>
                <w:color w:val="000000"/>
                <w:sz w:val="24"/>
              </w:rPr>
            </w:pPr>
            <w:r>
              <w:rPr>
                <w:color w:val="000000"/>
                <w:sz w:val="24"/>
              </w:rPr>
              <w:t>自主学习</w:t>
            </w:r>
          </w:p>
        </w:tc>
        <w:tc>
          <w:tcPr>
            <w:tcW w:w="641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sz w:val="24"/>
              </w:rPr>
            </w:pPr>
            <w:r>
              <w:rPr>
                <w:color w:val="000000"/>
                <w:sz w:val="24"/>
              </w:rPr>
              <w:t>为学生搭建课外学习平台，引导学生进行自主学习和自主评价。</w:t>
            </w:r>
          </w:p>
        </w:tc>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1433" w:type="dxa"/>
            <w:tcBorders>
              <w:top w:val="single" w:color="auto" w:sz="4" w:space="0"/>
              <w:left w:val="single" w:color="auto" w:sz="4" w:space="0"/>
              <w:right w:val="single" w:color="auto" w:sz="4" w:space="0"/>
            </w:tcBorders>
            <w:vAlign w:val="center"/>
          </w:tcPr>
          <w:p>
            <w:pPr>
              <w:spacing w:line="400" w:lineRule="exact"/>
              <w:jc w:val="center"/>
              <w:rPr>
                <w:color w:val="000000"/>
                <w:sz w:val="24"/>
              </w:rPr>
            </w:pPr>
            <w:r>
              <w:rPr>
                <w:color w:val="000000"/>
                <w:sz w:val="24"/>
              </w:rPr>
              <w:t>教学资源</w:t>
            </w:r>
          </w:p>
        </w:tc>
        <w:tc>
          <w:tcPr>
            <w:tcW w:w="6412"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color w:val="000000"/>
                <w:sz w:val="24"/>
              </w:rPr>
            </w:pPr>
            <w:r>
              <w:rPr>
                <w:color w:val="000000"/>
                <w:sz w:val="24"/>
              </w:rPr>
              <w:t>教学资源推介面广、材料丰富（包含课程思政内容）。</w:t>
            </w:r>
          </w:p>
        </w:tc>
        <w:tc>
          <w:tcPr>
            <w:tcW w:w="8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color w:val="000000"/>
                <w:sz w:val="24"/>
              </w:rPr>
            </w:pPr>
            <w:r>
              <w:rPr>
                <w:color w:val="000000"/>
                <w:sz w:val="24"/>
              </w:rPr>
              <w:t>5</w:t>
            </w:r>
          </w:p>
        </w:tc>
      </w:tr>
    </w:tbl>
    <w:p>
      <w:pPr>
        <w:spacing w:line="520" w:lineRule="exact"/>
        <w:ind w:firstLine="640" w:firstLineChars="200"/>
        <w:rPr>
          <w:rFonts w:ascii="楷体" w:hAnsi="楷体" w:eastAsia="楷体"/>
          <w:color w:val="000000"/>
          <w:sz w:val="32"/>
          <w:szCs w:val="32"/>
        </w:rPr>
      </w:pPr>
    </w:p>
    <w:p>
      <w:pPr>
        <w:spacing w:line="520" w:lineRule="exact"/>
        <w:ind w:firstLine="640" w:firstLineChars="200"/>
        <w:rPr>
          <w:rFonts w:ascii="楷体" w:hAnsi="楷体" w:eastAsia="楷体"/>
          <w:color w:val="000000"/>
          <w:sz w:val="32"/>
          <w:szCs w:val="32"/>
        </w:rPr>
      </w:pPr>
      <w:r>
        <w:rPr>
          <w:rFonts w:ascii="楷体" w:hAnsi="楷体" w:eastAsia="楷体"/>
          <w:color w:val="000000"/>
          <w:sz w:val="32"/>
          <w:szCs w:val="32"/>
        </w:rPr>
        <w:t>（二）</w:t>
      </w:r>
      <w:r>
        <w:rPr>
          <w:rFonts w:hint="eastAsia" w:ascii="楷体" w:hAnsi="楷体" w:eastAsia="楷体"/>
          <w:color w:val="000000"/>
          <w:sz w:val="32"/>
          <w:szCs w:val="32"/>
        </w:rPr>
        <w:t>课程思政教学比赛</w:t>
      </w:r>
      <w:r>
        <w:rPr>
          <w:rFonts w:ascii="楷体" w:hAnsi="楷体" w:eastAsia="楷体"/>
          <w:color w:val="000000"/>
          <w:sz w:val="32"/>
          <w:szCs w:val="32"/>
        </w:rPr>
        <w:t>现场展示评分标准（100分）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6693"/>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jc w:val="center"/>
        </w:trPr>
        <w:tc>
          <w:tcPr>
            <w:tcW w:w="1180" w:type="dxa"/>
            <w:tcBorders>
              <w:top w:val="single" w:color="auto" w:sz="4" w:space="0"/>
              <w:left w:val="single" w:color="auto" w:sz="4" w:space="0"/>
              <w:bottom w:val="single" w:color="auto" w:sz="4" w:space="0"/>
              <w:right w:val="single" w:color="auto" w:sz="4" w:space="0"/>
            </w:tcBorders>
            <w:vAlign w:val="center"/>
          </w:tcPr>
          <w:p>
            <w:pPr>
              <w:snapToGrid w:val="0"/>
              <w:jc w:val="center"/>
              <w:rPr>
                <w:b/>
                <w:bCs/>
                <w:color w:val="000000"/>
                <w:sz w:val="24"/>
              </w:rPr>
            </w:pPr>
            <w:r>
              <w:rPr>
                <w:b/>
                <w:bCs/>
                <w:color w:val="000000"/>
                <w:sz w:val="24"/>
              </w:rPr>
              <w:t>评价</w:t>
            </w:r>
          </w:p>
          <w:p>
            <w:pPr>
              <w:snapToGrid w:val="0"/>
              <w:jc w:val="center"/>
              <w:rPr>
                <w:b/>
                <w:bCs/>
                <w:color w:val="000000"/>
                <w:sz w:val="24"/>
              </w:rPr>
            </w:pPr>
            <w:r>
              <w:rPr>
                <w:b/>
                <w:bCs/>
                <w:color w:val="000000"/>
                <w:sz w:val="24"/>
              </w:rPr>
              <w:t>指标</w:t>
            </w: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jc w:val="center"/>
              <w:rPr>
                <w:b/>
                <w:bCs/>
                <w:color w:val="000000"/>
                <w:sz w:val="24"/>
              </w:rPr>
            </w:pPr>
            <w:r>
              <w:rPr>
                <w:b/>
                <w:bCs/>
                <w:color w:val="000000"/>
                <w:sz w:val="24"/>
              </w:rPr>
              <w:t>具体内容</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b/>
                <w:bCs/>
                <w:color w:val="000000"/>
                <w:sz w:val="24"/>
              </w:rPr>
            </w:pPr>
            <w:r>
              <w:rPr>
                <w:b/>
                <w:bCs/>
                <w:color w:val="000000"/>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jc w:val="center"/>
        </w:trPr>
        <w:tc>
          <w:tcPr>
            <w:tcW w:w="1180" w:type="dxa"/>
            <w:vMerge w:val="restart"/>
            <w:tcBorders>
              <w:top w:val="single" w:color="auto" w:sz="4" w:space="0"/>
              <w:left w:val="single" w:color="auto" w:sz="4" w:space="0"/>
              <w:right w:val="single" w:color="auto" w:sz="4" w:space="0"/>
            </w:tcBorders>
            <w:vAlign w:val="center"/>
          </w:tcPr>
          <w:p>
            <w:pPr>
              <w:snapToGrid w:val="0"/>
              <w:jc w:val="center"/>
              <w:rPr>
                <w:color w:val="000000"/>
                <w:sz w:val="24"/>
              </w:rPr>
            </w:pPr>
            <w:r>
              <w:rPr>
                <w:color w:val="000000"/>
                <w:sz w:val="24"/>
              </w:rPr>
              <w:t>教学</w:t>
            </w:r>
          </w:p>
          <w:p>
            <w:pPr>
              <w:snapToGrid w:val="0"/>
              <w:jc w:val="center"/>
              <w:rPr>
                <w:color w:val="000000"/>
                <w:sz w:val="24"/>
              </w:rPr>
            </w:pPr>
            <w:r>
              <w:rPr>
                <w:color w:val="000000"/>
                <w:sz w:val="24"/>
              </w:rPr>
              <w:t>实施</w:t>
            </w: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善于提炼课程蕴含的育人因素，能将思想政治教育和专业知识传授融合，教学内容呈现恰当，教学活动组织合理。</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5" w:hRule="atLeast"/>
          <w:jc w:val="center"/>
        </w:trPr>
        <w:tc>
          <w:tcPr>
            <w:tcW w:w="1180" w:type="dxa"/>
            <w:vMerge w:val="continue"/>
            <w:tcBorders>
              <w:left w:val="single" w:color="auto" w:sz="4" w:space="0"/>
              <w:right w:val="single" w:color="auto" w:sz="4" w:space="0"/>
            </w:tcBorders>
            <w:vAlign w:val="center"/>
          </w:tcPr>
          <w:p>
            <w:pPr>
              <w:snapToGrid w:val="0"/>
              <w:jc w:val="center"/>
              <w:rPr>
                <w:color w:val="000000"/>
                <w:sz w:val="24"/>
              </w:rPr>
            </w:pP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善于综合运用现代信息技术手段和数字资源把思政教育巧妙渗透教学全过程，教学方法运用恰当，教学策略使用有效。</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jc w:val="center"/>
        </w:trPr>
        <w:tc>
          <w:tcPr>
            <w:tcW w:w="1180" w:type="dxa"/>
            <w:vMerge w:val="continue"/>
            <w:tcBorders>
              <w:left w:val="single" w:color="auto" w:sz="4" w:space="0"/>
              <w:bottom w:val="single" w:color="auto" w:sz="4" w:space="0"/>
              <w:right w:val="single" w:color="auto" w:sz="4" w:space="0"/>
            </w:tcBorders>
            <w:vAlign w:val="center"/>
          </w:tcPr>
          <w:p>
            <w:pPr>
              <w:snapToGrid w:val="0"/>
              <w:jc w:val="center"/>
              <w:rPr>
                <w:color w:val="000000"/>
                <w:sz w:val="24"/>
              </w:rPr>
            </w:pP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注重教学互动，突出学生主体地位，调动学生参与课堂积极性。</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1180" w:type="dxa"/>
            <w:vMerge w:val="restart"/>
            <w:tcBorders>
              <w:top w:val="single" w:color="auto" w:sz="4" w:space="0"/>
              <w:left w:val="single" w:color="auto" w:sz="4" w:space="0"/>
              <w:right w:val="single" w:color="auto" w:sz="4" w:space="0"/>
            </w:tcBorders>
            <w:vAlign w:val="center"/>
          </w:tcPr>
          <w:p>
            <w:pPr>
              <w:snapToGrid w:val="0"/>
              <w:jc w:val="center"/>
              <w:rPr>
                <w:color w:val="000000"/>
                <w:sz w:val="24"/>
              </w:rPr>
            </w:pPr>
            <w:r>
              <w:rPr>
                <w:color w:val="000000"/>
                <w:sz w:val="24"/>
              </w:rPr>
              <w:t>教学</w:t>
            </w:r>
          </w:p>
          <w:p>
            <w:pPr>
              <w:snapToGrid w:val="0"/>
              <w:jc w:val="center"/>
              <w:rPr>
                <w:color w:val="000000"/>
                <w:sz w:val="24"/>
              </w:rPr>
            </w:pPr>
            <w:r>
              <w:rPr>
                <w:color w:val="000000"/>
                <w:sz w:val="24"/>
              </w:rPr>
              <w:t>效果</w:t>
            </w: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注重思想理论教育和价值引领，有效达成教学目标，效果明显。</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2" w:hRule="atLeast"/>
          <w:jc w:val="center"/>
        </w:trPr>
        <w:tc>
          <w:tcPr>
            <w:tcW w:w="1180" w:type="dxa"/>
            <w:vMerge w:val="continue"/>
            <w:tcBorders>
              <w:left w:val="single" w:color="auto" w:sz="4" w:space="0"/>
              <w:bottom w:val="single" w:color="auto" w:sz="4" w:space="0"/>
              <w:right w:val="single" w:color="auto" w:sz="4" w:space="0"/>
            </w:tcBorders>
            <w:vAlign w:val="center"/>
          </w:tcPr>
          <w:p>
            <w:pPr>
              <w:snapToGrid w:val="0"/>
              <w:jc w:val="center"/>
              <w:rPr>
                <w:color w:val="000000"/>
                <w:sz w:val="24"/>
              </w:rPr>
            </w:pP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课堂教学能结合课程特色挖掘育人因素，课堂实施成效好，特色鲜明，具有较强的示范性。</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6" w:hRule="atLeast"/>
          <w:jc w:val="center"/>
        </w:trPr>
        <w:tc>
          <w:tcPr>
            <w:tcW w:w="1180" w:type="dxa"/>
            <w:tcBorders>
              <w:top w:val="single" w:color="auto" w:sz="4" w:space="0"/>
              <w:left w:val="single" w:color="auto" w:sz="4" w:space="0"/>
              <w:right w:val="single" w:color="auto" w:sz="4" w:space="0"/>
            </w:tcBorders>
            <w:vAlign w:val="center"/>
          </w:tcPr>
          <w:p>
            <w:pPr>
              <w:snapToGrid w:val="0"/>
              <w:jc w:val="center"/>
              <w:rPr>
                <w:color w:val="000000"/>
                <w:sz w:val="24"/>
              </w:rPr>
            </w:pPr>
            <w:r>
              <w:rPr>
                <w:color w:val="000000"/>
                <w:sz w:val="24"/>
              </w:rPr>
              <w:t>教师素养与创新特色</w:t>
            </w: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具有良好的专业素养、科学精神、人文情怀；教态大方，举止得体，精神饱满，综合素质高；个人教学特色突出。</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8" w:hRule="atLeast"/>
          <w:jc w:val="center"/>
        </w:trPr>
        <w:tc>
          <w:tcPr>
            <w:tcW w:w="1180" w:type="dxa"/>
            <w:tcBorders>
              <w:left w:val="single" w:color="auto" w:sz="4" w:space="0"/>
              <w:right w:val="single" w:color="auto" w:sz="4" w:space="0"/>
            </w:tcBorders>
            <w:vAlign w:val="center"/>
          </w:tcPr>
          <w:p>
            <w:pPr>
              <w:snapToGrid w:val="0"/>
              <w:jc w:val="center"/>
              <w:rPr>
                <w:color w:val="000000"/>
                <w:sz w:val="24"/>
              </w:rPr>
            </w:pPr>
            <w:r>
              <w:rPr>
                <w:color w:val="000000"/>
                <w:sz w:val="24"/>
              </w:rPr>
              <w:t xml:space="preserve">现场提问 </w:t>
            </w:r>
          </w:p>
        </w:tc>
        <w:tc>
          <w:tcPr>
            <w:tcW w:w="6693" w:type="dxa"/>
            <w:tcBorders>
              <w:top w:val="single" w:color="auto" w:sz="4" w:space="0"/>
              <w:left w:val="single" w:color="auto" w:sz="4" w:space="0"/>
              <w:bottom w:val="single" w:color="auto" w:sz="4" w:space="0"/>
              <w:right w:val="single" w:color="auto" w:sz="4" w:space="0"/>
            </w:tcBorders>
            <w:vAlign w:val="center"/>
          </w:tcPr>
          <w:p>
            <w:pPr>
              <w:snapToGrid w:val="0"/>
              <w:rPr>
                <w:color w:val="000000"/>
                <w:sz w:val="24"/>
              </w:rPr>
            </w:pPr>
            <w:r>
              <w:rPr>
                <w:color w:val="000000"/>
                <w:sz w:val="24"/>
              </w:rPr>
              <w:t>回答评委提出的问题，条理清晰，抓住要点，观点正确，理由充分，见解独到，针对性强。</w:t>
            </w:r>
          </w:p>
        </w:tc>
        <w:tc>
          <w:tcPr>
            <w:tcW w:w="996"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 w:val="24"/>
              </w:rPr>
            </w:pPr>
            <w:r>
              <w:rPr>
                <w:color w:val="000000"/>
                <w:sz w:val="24"/>
              </w:rPr>
              <w:t>10</w:t>
            </w:r>
          </w:p>
        </w:tc>
      </w:tr>
    </w:tbl>
    <w:p>
      <w:pPr>
        <w:widowControl/>
        <w:jc w:val="left"/>
        <w:rPr>
          <w:rFonts w:eastAsia="仿宋"/>
          <w:b/>
          <w:bCs/>
          <w:color w:val="000000"/>
          <w:sz w:val="32"/>
          <w:szCs w:val="32"/>
        </w:rPr>
      </w:pPr>
    </w:p>
    <w:p>
      <w:pPr>
        <w:widowControl/>
        <w:jc w:val="left"/>
        <w:rPr>
          <w:rFonts w:eastAsia="仿宋"/>
          <w:b/>
          <w:bCs/>
          <w:color w:val="000000"/>
          <w:sz w:val="32"/>
          <w:szCs w:val="32"/>
        </w:rPr>
        <w:sectPr>
          <w:pgSz w:w="11906" w:h="16838"/>
          <w:pgMar w:top="1418" w:right="1418" w:bottom="1418" w:left="1701" w:header="851" w:footer="992" w:gutter="0"/>
          <w:cols w:space="720" w:num="1"/>
          <w:titlePg/>
          <w:docGrid w:type="linesAndChars" w:linePitch="312" w:charSpace="0"/>
        </w:sectPr>
      </w:pPr>
    </w:p>
    <w:p>
      <w:pPr>
        <w:snapToGrid w:val="0"/>
        <w:spacing w:before="156" w:beforeLines="50" w:after="156" w:afterLines="50" w:line="600" w:lineRule="exact"/>
        <w:jc w:val="center"/>
        <w:rPr>
          <w:rFonts w:ascii="楷体" w:hAnsi="楷体" w:eastAsia="楷体"/>
          <w:color w:val="000000"/>
          <w:sz w:val="32"/>
          <w:szCs w:val="32"/>
        </w:rPr>
      </w:pPr>
      <w:r>
        <w:rPr>
          <w:rFonts w:hint="eastAsia" w:ascii="楷体" w:hAnsi="楷体" w:eastAsia="楷体"/>
          <w:color w:val="000000"/>
          <w:sz w:val="32"/>
          <w:szCs w:val="32"/>
        </w:rPr>
        <w:t>（三）信息化教学竞赛决赛评价细则（100分）</w:t>
      </w:r>
    </w:p>
    <w:tbl>
      <w:tblPr>
        <w:tblStyle w:val="2"/>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623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7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4"/>
                <w:szCs w:val="24"/>
              </w:rPr>
            </w:pPr>
            <w:r>
              <w:rPr>
                <w:rFonts w:hint="eastAsia" w:ascii="宋体" w:hAnsi="宋体"/>
                <w:b/>
                <w:sz w:val="24"/>
              </w:rPr>
              <w:t>项目</w:t>
            </w:r>
          </w:p>
        </w:tc>
        <w:tc>
          <w:tcPr>
            <w:tcW w:w="62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4"/>
                <w:szCs w:val="24"/>
              </w:rPr>
            </w:pPr>
            <w:r>
              <w:rPr>
                <w:rFonts w:hint="eastAsia" w:ascii="宋体" w:hAnsi="宋体"/>
                <w:b/>
                <w:sz w:val="24"/>
              </w:rPr>
              <w:t>评分要素</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 w:val="24"/>
                <w:szCs w:val="24"/>
              </w:rPr>
            </w:pPr>
            <w:r>
              <w:rPr>
                <w:rFonts w:hint="eastAsia" w:ascii="宋体" w:hAnsi="宋体"/>
                <w:b/>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1702"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szCs w:val="24"/>
              </w:rPr>
            </w:pPr>
            <w:r>
              <w:rPr>
                <w:rFonts w:hint="eastAsia" w:ascii="宋体" w:hAnsi="宋体"/>
                <w:sz w:val="24"/>
              </w:rPr>
              <w:t>教学设计</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szCs w:val="24"/>
              </w:rPr>
            </w:pPr>
            <w:r>
              <w:rPr>
                <w:rFonts w:hint="eastAsia" w:ascii="宋体" w:hAnsi="宋体"/>
                <w:sz w:val="24"/>
              </w:rPr>
              <w:t>教学理念先进、目标明确、策略适当；</w:t>
            </w:r>
          </w:p>
          <w:p>
            <w:pPr>
              <w:spacing w:line="420" w:lineRule="exact"/>
              <w:rPr>
                <w:rFonts w:ascii="宋体" w:hAnsi="宋体"/>
                <w:sz w:val="24"/>
              </w:rPr>
            </w:pPr>
            <w:r>
              <w:rPr>
                <w:rFonts w:hint="eastAsia" w:ascii="宋体" w:hAnsi="宋体"/>
                <w:sz w:val="24"/>
              </w:rPr>
              <w:t>准确把握重难点，技术与方法选择符合认知规律；</w:t>
            </w:r>
          </w:p>
          <w:p>
            <w:pPr>
              <w:spacing w:line="420" w:lineRule="exact"/>
              <w:rPr>
                <w:rFonts w:ascii="宋体" w:hAnsi="宋体"/>
                <w:sz w:val="24"/>
                <w:szCs w:val="24"/>
              </w:rPr>
            </w:pPr>
            <w:r>
              <w:rPr>
                <w:rFonts w:hint="eastAsia" w:ascii="宋体" w:hAnsi="宋体"/>
                <w:sz w:val="24"/>
              </w:rPr>
              <w:t>教学内容完整，教学环节设计合理。</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atLeast"/>
        </w:trPr>
        <w:tc>
          <w:tcPr>
            <w:tcW w:w="1702"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szCs w:val="24"/>
              </w:rPr>
            </w:pPr>
            <w:r>
              <w:rPr>
                <w:rFonts w:hint="eastAsia" w:ascii="宋体" w:hAnsi="宋体"/>
                <w:sz w:val="24"/>
              </w:rPr>
              <w:t>教学过程</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szCs w:val="24"/>
              </w:rPr>
            </w:pPr>
            <w:r>
              <w:rPr>
                <w:rFonts w:hint="eastAsia" w:ascii="宋体" w:hAnsi="宋体"/>
                <w:sz w:val="24"/>
              </w:rPr>
              <w:t>教态端庄，语言准确、条理清楚；</w:t>
            </w:r>
          </w:p>
          <w:p>
            <w:pPr>
              <w:spacing w:line="420" w:lineRule="exact"/>
              <w:rPr>
                <w:rFonts w:ascii="宋体" w:hAnsi="宋体"/>
                <w:sz w:val="24"/>
              </w:rPr>
            </w:pPr>
            <w:r>
              <w:rPr>
                <w:rFonts w:hint="eastAsia" w:ascii="宋体" w:hAnsi="宋体"/>
                <w:sz w:val="24"/>
              </w:rPr>
              <w:t>教学内容熟练、重点突出、难点剖析清楚；</w:t>
            </w:r>
          </w:p>
          <w:p>
            <w:pPr>
              <w:spacing w:line="420" w:lineRule="exact"/>
              <w:rPr>
                <w:rFonts w:ascii="宋体" w:hAnsi="宋体"/>
                <w:sz w:val="24"/>
              </w:rPr>
            </w:pPr>
            <w:r>
              <w:rPr>
                <w:rFonts w:hint="eastAsia" w:ascii="宋体" w:hAnsi="宋体"/>
                <w:sz w:val="24"/>
              </w:rPr>
              <w:t>有教学互动，能利于学生创新思维与技能培养；</w:t>
            </w:r>
          </w:p>
          <w:p>
            <w:pPr>
              <w:spacing w:line="420" w:lineRule="exact"/>
              <w:rPr>
                <w:rFonts w:ascii="宋体" w:hAnsi="宋体"/>
                <w:sz w:val="24"/>
                <w:szCs w:val="24"/>
              </w:rPr>
            </w:pPr>
            <w:r>
              <w:rPr>
                <w:rFonts w:hint="eastAsia" w:ascii="宋体" w:hAnsi="宋体"/>
                <w:sz w:val="24"/>
              </w:rPr>
              <w:t>能够合理运用信息技术辅助课程教学。</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atLeast"/>
        </w:trPr>
        <w:tc>
          <w:tcPr>
            <w:tcW w:w="1702"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szCs w:val="24"/>
              </w:rPr>
            </w:pPr>
            <w:r>
              <w:rPr>
                <w:rFonts w:hint="eastAsia" w:ascii="宋体" w:hAnsi="宋体"/>
                <w:sz w:val="24"/>
              </w:rPr>
              <w:t>教学软件</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szCs w:val="24"/>
              </w:rPr>
            </w:pPr>
            <w:r>
              <w:rPr>
                <w:rFonts w:hint="eastAsia" w:ascii="宋体" w:hAnsi="宋体"/>
                <w:sz w:val="24"/>
              </w:rPr>
              <w:t>能全面支撑所授课程内容的教学活动，资源丰富；</w:t>
            </w:r>
          </w:p>
          <w:p>
            <w:pPr>
              <w:spacing w:line="420" w:lineRule="exact"/>
              <w:rPr>
                <w:rFonts w:ascii="宋体" w:hAnsi="宋体"/>
                <w:sz w:val="24"/>
              </w:rPr>
            </w:pPr>
            <w:r>
              <w:rPr>
                <w:rFonts w:hint="eastAsia" w:ascii="宋体" w:hAnsi="宋体"/>
                <w:sz w:val="24"/>
              </w:rPr>
              <w:t>追踪信息技术发展，开发工具选择适当；</w:t>
            </w:r>
          </w:p>
          <w:p>
            <w:pPr>
              <w:spacing w:line="420" w:lineRule="exact"/>
              <w:rPr>
                <w:rFonts w:ascii="宋体" w:hAnsi="宋体"/>
                <w:sz w:val="24"/>
              </w:rPr>
            </w:pPr>
            <w:r>
              <w:rPr>
                <w:rFonts w:hint="eastAsia" w:ascii="宋体" w:hAnsi="宋体"/>
                <w:sz w:val="24"/>
              </w:rPr>
              <w:t>多媒体应用合理，软件制作精美，交互性能良好；</w:t>
            </w:r>
          </w:p>
          <w:p>
            <w:pPr>
              <w:spacing w:line="420" w:lineRule="exact"/>
              <w:rPr>
                <w:rFonts w:ascii="宋体" w:hAnsi="宋体"/>
                <w:sz w:val="24"/>
                <w:szCs w:val="24"/>
              </w:rPr>
            </w:pPr>
            <w:r>
              <w:rPr>
                <w:rFonts w:hint="eastAsia" w:ascii="宋体" w:hAnsi="宋体"/>
                <w:sz w:val="24"/>
              </w:rPr>
              <w:t>软件运行稳定，导航链接准确。</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702"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szCs w:val="24"/>
              </w:rPr>
            </w:pPr>
            <w:r>
              <w:rPr>
                <w:rFonts w:hint="eastAsia" w:ascii="宋体" w:hAnsi="宋体"/>
                <w:sz w:val="24"/>
              </w:rPr>
              <w:t>教学效果</w:t>
            </w:r>
          </w:p>
        </w:tc>
        <w:tc>
          <w:tcPr>
            <w:tcW w:w="6237"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sz w:val="24"/>
                <w:szCs w:val="24"/>
              </w:rPr>
            </w:pPr>
            <w:r>
              <w:rPr>
                <w:rFonts w:hint="eastAsia" w:ascii="宋体" w:hAnsi="宋体"/>
                <w:sz w:val="24"/>
              </w:rPr>
              <w:t>信息化教学手段应用能较好达成教学目标；</w:t>
            </w:r>
          </w:p>
          <w:p>
            <w:pPr>
              <w:spacing w:line="420" w:lineRule="exact"/>
              <w:rPr>
                <w:rFonts w:ascii="宋体" w:hAnsi="宋体"/>
                <w:sz w:val="24"/>
              </w:rPr>
            </w:pPr>
            <w:r>
              <w:rPr>
                <w:rFonts w:hint="eastAsia" w:ascii="宋体" w:hAnsi="宋体"/>
                <w:sz w:val="24"/>
              </w:rPr>
              <w:t>能有效促进学生学习能力与教学质量的提升；</w:t>
            </w:r>
          </w:p>
          <w:p>
            <w:pPr>
              <w:spacing w:line="420" w:lineRule="exact"/>
              <w:rPr>
                <w:rFonts w:ascii="宋体" w:hAnsi="宋体"/>
                <w:sz w:val="24"/>
                <w:szCs w:val="24"/>
              </w:rPr>
            </w:pPr>
            <w:r>
              <w:rPr>
                <w:rFonts w:hint="eastAsia" w:ascii="宋体" w:hAnsi="宋体"/>
                <w:sz w:val="24"/>
              </w:rPr>
              <w:t>参赛软件教学应用效果明显，有应用推广价值。</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hint="eastAsia" w:ascii="宋体" w:hAnsi="宋体"/>
                <w:sz w:val="24"/>
              </w:rPr>
              <w:t>20</w:t>
            </w:r>
          </w:p>
        </w:tc>
      </w:tr>
    </w:tbl>
    <w:p>
      <w:pPr>
        <w:widowControl/>
        <w:tabs>
          <w:tab w:val="left" w:pos="7560"/>
        </w:tabs>
        <w:spacing w:line="440" w:lineRule="exact"/>
        <w:jc w:val="left"/>
        <w:rPr>
          <w:rFonts w:ascii="黑体" w:hAnsi="宋体" w:eastAsia="黑体" w:cs="宋体"/>
          <w:color w:val="000000"/>
          <w:kern w:val="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A153B4"/>
    <w:rsid w:val="4EA15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2021-03-30T00:40:00Z</dcterms:created>
  <dc:creator>宁昭甫</dc:creator>
  <cp:lastModifiedBy>宁昭甫</cp:lastModifiedBy>
  <dcterms:modified xsi:type="dcterms:W3CDTF">2021-03-30T00:41:20Z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9D774A29FA35494DB807D5A9CAB4A6A4</vt:lpwstr>
  </property>
</Properties>
</file>