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</w:p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  <w:lang w:eastAsia="zh-CN"/>
        </w:rPr>
        <w:t>湖南</w:t>
      </w:r>
      <w:r>
        <w:rPr>
          <w:rFonts w:hint="eastAsia"/>
          <w:b/>
          <w:sz w:val="36"/>
          <w:szCs w:val="32"/>
        </w:rPr>
        <w:t>女子学院201</w:t>
      </w:r>
      <w:r>
        <w:rPr>
          <w:rFonts w:hint="eastAsia"/>
          <w:b/>
          <w:sz w:val="36"/>
          <w:szCs w:val="32"/>
          <w:lang w:val="en-US" w:eastAsia="zh-CN"/>
        </w:rPr>
        <w:t>7</w:t>
      </w:r>
      <w:r>
        <w:rPr>
          <w:rFonts w:hint="eastAsia"/>
          <w:b/>
          <w:sz w:val="36"/>
          <w:szCs w:val="32"/>
        </w:rPr>
        <w:t>年学生体质健康报告</w:t>
      </w:r>
    </w:p>
    <w:p>
      <w:pPr>
        <w:ind w:firstLine="562" w:firstLineChars="200"/>
        <w:rPr>
          <w:b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2014年7月教育部发布实施《国家学生体质健康标准（2014年修订）》（以下简称《标准》），修订版的《标准》对测试项目及相应的评分标准较之前有较大幅度的不同，根据教育部办公厅发布的201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年测试及上报工作通知，我校201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年度学生体质健康测试及上报工作在201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月至1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月之间开展。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年度的我校学生体质健康标准测试报告如下：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一、学生体质健康测试前期准备阶段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（一）测试仪器检查</w:t>
      </w:r>
    </w:p>
    <w:p>
      <w:pPr>
        <w:ind w:right="112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体育课教学部</w:t>
      </w:r>
      <w:r>
        <w:rPr>
          <w:rFonts w:hint="eastAsia"/>
          <w:sz w:val="28"/>
          <w:szCs w:val="28"/>
        </w:rPr>
        <w:t>在测试工作开始前对所有测试仪器进行了校验检查，清空记录，保证仪器有效准确快速完成测试工作。同时为了保证测试工作及时完成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（二）测试员的组织与岗前培训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本次测试使用的</w:t>
      </w:r>
      <w:r>
        <w:rPr>
          <w:rFonts w:hint="eastAsia"/>
          <w:sz w:val="28"/>
          <w:szCs w:val="28"/>
          <w:lang w:eastAsia="zh-CN"/>
        </w:rPr>
        <w:t>恒康佳业</w:t>
      </w:r>
      <w:r>
        <w:rPr>
          <w:rFonts w:hint="eastAsia"/>
          <w:sz w:val="28"/>
          <w:szCs w:val="28"/>
        </w:rPr>
        <w:t>测试系统，测试前</w:t>
      </w:r>
      <w:r>
        <w:rPr>
          <w:rFonts w:hint="eastAsia"/>
          <w:sz w:val="28"/>
          <w:szCs w:val="28"/>
          <w:lang w:eastAsia="zh-CN"/>
        </w:rPr>
        <w:t>体育课教学部组织</w:t>
      </w:r>
      <w:r>
        <w:rPr>
          <w:rFonts w:hint="eastAsia"/>
          <w:sz w:val="28"/>
          <w:szCs w:val="28"/>
        </w:rPr>
        <w:t>全体教师和学生助理测试员进行了全面培训，保证测试员熟练准确完成测试工作。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二、测试结果与分析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（一）被测学生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lang w:eastAsia="zh-CN"/>
        </w:rPr>
        <w:t>湖南</w:t>
      </w:r>
      <w:r>
        <w:rPr>
          <w:rFonts w:hint="eastAsia"/>
          <w:sz w:val="28"/>
          <w:szCs w:val="28"/>
        </w:rPr>
        <w:t>女子学院学生体质健康</w:t>
      </w:r>
      <w:r>
        <w:rPr>
          <w:rFonts w:hint="eastAsia"/>
          <w:sz w:val="28"/>
          <w:szCs w:val="28"/>
          <w:lang w:eastAsia="zh-CN"/>
        </w:rPr>
        <w:t>达标</w:t>
      </w:r>
      <w:r>
        <w:rPr>
          <w:rFonts w:hint="eastAsia"/>
          <w:sz w:val="28"/>
          <w:szCs w:val="28"/>
        </w:rPr>
        <w:t>测试覆盖了201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lang w:eastAsia="zh-CN"/>
        </w:rPr>
        <w:t>（本科）</w:t>
      </w:r>
      <w:r>
        <w:rPr>
          <w:rFonts w:hint="eastAsia"/>
          <w:sz w:val="28"/>
          <w:szCs w:val="28"/>
        </w:rPr>
        <w:t>、201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级、201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级、201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级全体学生。根据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学籍科提供资料显示，在籍人数</w:t>
      </w:r>
      <w:r>
        <w:rPr>
          <w:rFonts w:hint="eastAsia"/>
          <w:sz w:val="28"/>
          <w:szCs w:val="28"/>
          <w:lang w:val="en-US" w:eastAsia="zh-CN"/>
        </w:rPr>
        <w:t>9802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其中14级专科生已经毕业，还有部分学生因病未能参加测试，</w:t>
      </w:r>
      <w:r>
        <w:rPr>
          <w:rFonts w:hint="eastAsia"/>
          <w:sz w:val="28"/>
          <w:szCs w:val="28"/>
          <w:lang w:eastAsia="zh-CN"/>
        </w:rPr>
        <w:t>实测人数</w:t>
      </w:r>
      <w:r>
        <w:rPr>
          <w:rFonts w:hint="eastAsia"/>
          <w:sz w:val="28"/>
          <w:szCs w:val="28"/>
          <w:lang w:val="en-US" w:eastAsia="zh-CN"/>
        </w:rPr>
        <w:t>9328人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（二）总体达标情况分析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28"/>
          <w:szCs w:val="28"/>
        </w:rPr>
        <w:t>年我校进行了身高、体重、肺活量、坐位体前屈、立定跳远、50米、800米、仰卧起坐共八项指标的测试；测试总分90-100分为优秀，80-90分（不含90分）为良好，60-80分（不含80分）为及格，60分以下为不及格。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全校总体合格率为</w:t>
      </w:r>
      <w:r>
        <w:rPr>
          <w:rFonts w:hint="eastAsia"/>
          <w:sz w:val="28"/>
          <w:szCs w:val="28"/>
          <w:lang w:val="en-US" w:eastAsia="zh-CN"/>
        </w:rPr>
        <w:t>93.17</w:t>
      </w:r>
      <w:r>
        <w:rPr>
          <w:rFonts w:hint="eastAsia"/>
          <w:sz w:val="28"/>
          <w:szCs w:val="28"/>
        </w:rPr>
        <w:t>%，其中优秀率为0.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%，良好率为</w:t>
      </w:r>
      <w:r>
        <w:rPr>
          <w:rFonts w:hint="eastAsia"/>
          <w:sz w:val="28"/>
          <w:szCs w:val="28"/>
          <w:lang w:val="en-US" w:eastAsia="zh-CN"/>
        </w:rPr>
        <w:t>11.94</w:t>
      </w:r>
      <w:r>
        <w:rPr>
          <w:rFonts w:hint="eastAsia"/>
          <w:sz w:val="28"/>
          <w:szCs w:val="28"/>
        </w:rPr>
        <w:t>%，及格率为</w:t>
      </w:r>
      <w:r>
        <w:rPr>
          <w:rFonts w:hint="eastAsia"/>
          <w:sz w:val="28"/>
          <w:szCs w:val="28"/>
          <w:lang w:val="en-US" w:eastAsia="zh-CN"/>
        </w:rPr>
        <w:t>80.99</w:t>
      </w:r>
      <w:r>
        <w:rPr>
          <w:rFonts w:hint="eastAsia"/>
          <w:sz w:val="28"/>
          <w:szCs w:val="28"/>
        </w:rPr>
        <w:t>%，不及格率为</w:t>
      </w:r>
      <w:r>
        <w:rPr>
          <w:rFonts w:hint="eastAsia"/>
          <w:sz w:val="28"/>
          <w:szCs w:val="28"/>
          <w:lang w:val="en-US" w:eastAsia="zh-CN"/>
        </w:rPr>
        <w:t>6.83</w:t>
      </w:r>
      <w:r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各年级详细数据见下表。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全校各年级学生体质健康测试结果统计（分年级）</w:t>
      </w:r>
    </w:p>
    <w:tbl>
      <w:tblPr>
        <w:tblStyle w:val="6"/>
        <w:tblW w:w="8950" w:type="dxa"/>
        <w:jc w:val="center"/>
        <w:tblInd w:w="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796"/>
        <w:gridCol w:w="930"/>
        <w:gridCol w:w="900"/>
        <w:gridCol w:w="930"/>
        <w:gridCol w:w="750"/>
        <w:gridCol w:w="934"/>
        <w:gridCol w:w="761"/>
        <w:gridCol w:w="941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优秀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良好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及格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不及格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及格率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人数</w:t>
            </w: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比例%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人数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比例%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人数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比例%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人数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比例%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全校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22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0.24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1114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11.94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7555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80.99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637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6.83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93.17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级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2"/>
              </w:rPr>
              <w:t>生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0.34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9.06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1943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82.30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8.30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</w:rPr>
              <w:t>级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2"/>
              </w:rPr>
              <w:t>生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12.46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2057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81.59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145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5.75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2"/>
              </w:rPr>
              <w:t>级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2"/>
              </w:rPr>
              <w:t>生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0.14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16.16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1691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79.20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4.50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2"/>
              </w:rPr>
              <w:t>级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2"/>
              </w:rPr>
              <w:t>生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0.26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10.43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1864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80.66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8.65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91.35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我校201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年度学生体质健康测试绝大部分学生能够认真遵守《</w:t>
      </w:r>
      <w:r>
        <w:rPr>
          <w:rFonts w:hint="eastAsia"/>
          <w:sz w:val="28"/>
          <w:szCs w:val="28"/>
          <w:lang w:eastAsia="zh-CN"/>
        </w:rPr>
        <w:t>湖南</w:t>
      </w:r>
      <w:r>
        <w:rPr>
          <w:rFonts w:hint="eastAsia"/>
          <w:sz w:val="28"/>
          <w:szCs w:val="28"/>
        </w:rPr>
        <w:t>女子学院学生体质健康标准实施办法》。测试成绩合格率超过90%，但与《高等学校体育工作基本标准》中合格率达到的95%的要求还有一定差距。测试成绩良好率与优秀率极低，一方面反应学生体能的状况，另一方面也反应出学生对于测试持不进取的态度，认为“及格就好”，并不为取得更好成绩付出更多努力，建议采取措施鼓励学生在测试中尽力测出好成绩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（三）各测试指标统计情况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身体形态指标</w:t>
      </w:r>
    </w:p>
    <w:tbl>
      <w:tblPr>
        <w:tblStyle w:val="6"/>
        <w:tblpPr w:leftFromText="180" w:rightFromText="180" w:vertAnchor="text" w:horzAnchor="margin" w:tblpXSpec="center" w:tblpY="134"/>
        <w:tblW w:w="8667" w:type="dxa"/>
        <w:jc w:val="center"/>
        <w:tblInd w:w="-8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45"/>
        <w:gridCol w:w="1740"/>
        <w:gridCol w:w="1785"/>
        <w:gridCol w:w="16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偏瘦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超重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肥胖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713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7728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725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7.64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82.85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7.77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1.74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肺活量</w:t>
      </w:r>
    </w:p>
    <w:tbl>
      <w:tblPr>
        <w:tblStyle w:val="7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良好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及格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862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1153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5937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百分率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9.24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12.36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63.65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14.75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建议：坚持进行慢跑、游泳等有氧运动，在锻炼时有意识调节呼吸，提高改善肺部呼吸的效率和机能。坚持做一些扩胸运动，提高胸廓部肌肉力量，增强呼吸深度。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仰卧起坐</w:t>
      </w:r>
    </w:p>
    <w:tbl>
      <w:tblPr>
        <w:tblStyle w:val="7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良好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及格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438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7370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百分率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1.60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4.70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79.00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14.70</w:t>
            </w:r>
          </w:p>
        </w:tc>
      </w:tr>
    </w:tbl>
    <w:p/>
    <w:p/>
    <w:p/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建议：仰卧起坐反应人体腰腹肌力量（核心力量），提高方式方法很多，如仰卧举腿、坐式屈团身、屈体车轮跑、v形两头起等等，要注意练习的频率和次数，并注意动作的规范性，避免受伤。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坐位体前屈</w:t>
      </w:r>
    </w:p>
    <w:tbl>
      <w:tblPr>
        <w:tblStyle w:val="7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良好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及格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1984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1304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5248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百分率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21.27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13.98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56.26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8.49</w:t>
            </w: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jc w:val="center"/>
        <w:rPr>
          <w:rFonts w:hint="eastAsia" w:eastAsia="宋体"/>
          <w:sz w:val="24"/>
          <w:szCs w:val="28"/>
          <w:lang w:eastAsia="zh-CN"/>
        </w:rPr>
      </w:pPr>
      <w:r>
        <w:rPr>
          <w:rFonts w:hint="eastAsia" w:eastAsia="宋体"/>
          <w:sz w:val="24"/>
          <w:szCs w:val="28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rPr>
          <w:sz w:val="24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建议：坐位体前屈反应人体柔韧素质，建议在热身运动后，进行肌肉拉伸练习，压腿、踢腿等等，瑜伽运动也是提升身体柔韧性的好方法。</w:t>
      </w:r>
    </w:p>
    <w:p>
      <w:pPr>
        <w:rPr>
          <w:sz w:val="24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立定跳远</w:t>
      </w:r>
    </w:p>
    <w:tbl>
      <w:tblPr>
        <w:tblStyle w:val="7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良好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及格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469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1501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5662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百分率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5.03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16.09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50.70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18.18</w:t>
            </w:r>
          </w:p>
        </w:tc>
      </w:tr>
    </w:tbl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建议：立定跳远反应身体下肢爆发力及协调力量，首先需要学习立定跳远的技术结构，其次提高下肢肌群的力量，以及摆臂、腰腹的协调性。练习方法有蹲跳起、单脚交换跳、纵跳摸高、蛙跳等等。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50米跑</w:t>
      </w:r>
    </w:p>
    <w:tbl>
      <w:tblPr>
        <w:tblStyle w:val="7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良好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及格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810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8023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百分率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8.68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86.01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4.31</w:t>
            </w:r>
          </w:p>
        </w:tc>
      </w:tr>
    </w:tbl>
    <w:p>
      <w:r>
        <w:rPr>
          <w:rFonts w:hint="eastAsia"/>
        </w:rPr>
        <w:t xml:space="preserve">         </w:t>
      </w:r>
    </w:p>
    <w:p/>
    <w:p/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建议：50米跑反应身体的速度素质，练习时需要着重提高步幅、步频和反应速度等。练习方式有高抬腿跑、小步跑、后蹬跑、30米加速跑等等，同时应注意提高脚踝关节的支撑力量。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耐力素质（800米）</w:t>
      </w:r>
    </w:p>
    <w:tbl>
      <w:tblPr>
        <w:tblStyle w:val="7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良好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及格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307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1040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6744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百分率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3.29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11.15</w:t>
            </w:r>
          </w:p>
        </w:tc>
        <w:tc>
          <w:tcPr>
            <w:tcW w:w="1770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72.30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13.26</w:t>
            </w:r>
          </w:p>
        </w:tc>
      </w:tr>
    </w:tbl>
    <w:p>
      <w:pPr>
        <w:jc w:val="both"/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/>
    <w:p>
      <w:pPr>
        <w:jc w:val="center"/>
        <w:rPr>
          <w:sz w:val="24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建议：提高耐久跑成绩首先应制定科学的计划，并认真执行，较长距离的慢跑、自行车、游泳运动等等都是很好的运动方式，也可进行有有氧舞蹈、有氧操等联系，贵在坚持。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三、存在的问题及改进地方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1、场地</w:t>
      </w:r>
      <w:r>
        <w:rPr>
          <w:rFonts w:hint="eastAsia"/>
          <w:sz w:val="28"/>
          <w:szCs w:val="28"/>
          <w:lang w:eastAsia="zh-CN"/>
        </w:rPr>
        <w:t>器材</w:t>
      </w:r>
      <w:r>
        <w:rPr>
          <w:rFonts w:hint="eastAsia"/>
          <w:sz w:val="28"/>
          <w:szCs w:val="28"/>
        </w:rPr>
        <w:t>问题。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因测试场地有限，测试室仅能容纳测试器材一套，导致一旦测试器材出现故障，则需修好后才能继续，导致测试经常遇到阻力。立定跳远项目测试成绩差，也是因为测试场地局限、仪器老化导致学生无法发挥出应有的水平导致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2、缺少校内医务监督。测试采取课上与课下测试相结合的模式，</w:t>
      </w:r>
      <w:r>
        <w:rPr>
          <w:rFonts w:hint="eastAsia"/>
          <w:sz w:val="28"/>
          <w:szCs w:val="28"/>
          <w:lang w:eastAsia="zh-CN"/>
        </w:rPr>
        <w:t>根据项目不同，采取居中和分散测试相结合的模式。集中</w:t>
      </w:r>
      <w:r>
        <w:rPr>
          <w:rFonts w:hint="eastAsia"/>
          <w:sz w:val="28"/>
          <w:szCs w:val="28"/>
        </w:rPr>
        <w:t>测试有</w:t>
      </w:r>
      <w:r>
        <w:rPr>
          <w:rFonts w:hint="eastAsia"/>
          <w:sz w:val="28"/>
          <w:szCs w:val="28"/>
          <w:lang w:eastAsia="zh-CN"/>
        </w:rPr>
        <w:t>请</w:t>
      </w:r>
      <w:r>
        <w:rPr>
          <w:rFonts w:hint="eastAsia"/>
          <w:sz w:val="28"/>
          <w:szCs w:val="28"/>
        </w:rPr>
        <w:t>医</w:t>
      </w:r>
      <w:r>
        <w:rPr>
          <w:rFonts w:hint="eastAsia"/>
          <w:sz w:val="28"/>
          <w:szCs w:val="28"/>
          <w:lang w:eastAsia="zh-CN"/>
        </w:rPr>
        <w:t>生</w:t>
      </w:r>
      <w:r>
        <w:rPr>
          <w:rFonts w:hint="eastAsia"/>
          <w:sz w:val="28"/>
          <w:szCs w:val="28"/>
        </w:rPr>
        <w:t>进行医务监督，但是</w:t>
      </w:r>
      <w:r>
        <w:rPr>
          <w:rFonts w:hint="eastAsia"/>
          <w:sz w:val="28"/>
          <w:szCs w:val="28"/>
          <w:lang w:eastAsia="zh-CN"/>
        </w:rPr>
        <w:t>课上的分散测试</w:t>
      </w:r>
      <w:r>
        <w:rPr>
          <w:rFonts w:hint="eastAsia"/>
          <w:sz w:val="28"/>
          <w:szCs w:val="28"/>
        </w:rPr>
        <w:t>只能</w:t>
      </w:r>
      <w:r>
        <w:rPr>
          <w:rFonts w:hint="eastAsia"/>
          <w:sz w:val="28"/>
          <w:szCs w:val="28"/>
          <w:lang w:eastAsia="zh-CN"/>
        </w:rPr>
        <w:t>等出现问题时再请医务室的医生前来，存在安全隐患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宣传教育还不到位。测试过程中仍发现有学生在测试中违纪，在自己不擅长的项目测试时，找他人代测。另有部分学生对测试没有予以应有的重视，个别学生缺测，以打工、培训、未得到通知等各种理由为借口。下一年度测试前发起全校性动员工作，请各系主管协助加强宣传教育工作，让学生进一步加强认识，知晓利害，认真完成测试。</w:t>
      </w:r>
    </w:p>
    <w:p>
      <w:p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测试方法传授不到位。一些测试项目学生在测试时未能掌握好测试方法，导致测试时未能发挥出自己应有的水平导致测试成绩不理想。建议体育教师在体育课中要将体能测试方法教给学生，并在课上做相应的练习，没有体育课的学生应该组织各班班干部进行测试培训，然后又各班班干部带领学生在课余时间练习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82"/>
    <w:rsid w:val="001E3AEA"/>
    <w:rsid w:val="006255E7"/>
    <w:rsid w:val="006665B6"/>
    <w:rsid w:val="00724082"/>
    <w:rsid w:val="009F1BFF"/>
    <w:rsid w:val="00A4685D"/>
    <w:rsid w:val="00AF6F00"/>
    <w:rsid w:val="00DC06D8"/>
    <w:rsid w:val="00E3085F"/>
    <w:rsid w:val="00FA4482"/>
    <w:rsid w:val="00FD775F"/>
    <w:rsid w:val="1C9C34CE"/>
    <w:rsid w:val="206A46C7"/>
    <w:rsid w:val="23035DA9"/>
    <w:rsid w:val="2D5150B1"/>
    <w:rsid w:val="2E862C56"/>
    <w:rsid w:val="331F5ABA"/>
    <w:rsid w:val="3BA0210C"/>
    <w:rsid w:val="418B646E"/>
    <w:rsid w:val="441B12C3"/>
    <w:rsid w:val="585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chart" Target="charts/chart7.xml"/><Relationship Id="rId15" Type="http://schemas.openxmlformats.org/officeDocument/2006/relationships/chart" Target="charts/chart6.xml"/><Relationship Id="rId14" Type="http://schemas.openxmlformats.org/officeDocument/2006/relationships/chart" Target="charts/chart5.xml"/><Relationship Id="rId13" Type="http://schemas.openxmlformats.org/officeDocument/2006/relationships/chart" Target="charts/chart4.xml"/><Relationship Id="rId12" Type="http://schemas.openxmlformats.org/officeDocument/2006/relationships/chart" Target="charts/chart3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package" Target="../embeddings/Workbook7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Workbook5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package" Target="../embeddings/Workbook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身体形态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轻体重人数</c:v>
                </c:pt>
                <c:pt idx="1">
                  <c:v>正常人数</c:v>
                </c:pt>
                <c:pt idx="2">
                  <c:v>超重人数</c:v>
                </c:pt>
                <c:pt idx="3">
                  <c:v>肥胖人数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713</c:v>
                </c:pt>
                <c:pt idx="1">
                  <c:v>7728</c:v>
                </c:pt>
                <c:pt idx="2">
                  <c:v>725</c:v>
                </c:pt>
                <c:pt idx="3">
                  <c:v>162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肺活量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优秀人数</c:v>
                </c:pt>
                <c:pt idx="1">
                  <c:v>良好人数</c:v>
                </c:pt>
                <c:pt idx="2">
                  <c:v>及格人数</c:v>
                </c:pt>
                <c:pt idx="3">
                  <c:v>不及格人数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862</c:v>
                </c:pt>
                <c:pt idx="1">
                  <c:v>1153</c:v>
                </c:pt>
                <c:pt idx="2">
                  <c:v>5937</c:v>
                </c:pt>
                <c:pt idx="3">
                  <c:v>1376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仰卧起坐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优秀人数</c:v>
                </c:pt>
                <c:pt idx="1">
                  <c:v>良好人数</c:v>
                </c:pt>
                <c:pt idx="2">
                  <c:v>及格人数</c:v>
                </c:pt>
                <c:pt idx="3">
                  <c:v>不及格人数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149</c:v>
                </c:pt>
                <c:pt idx="1">
                  <c:v>438</c:v>
                </c:pt>
                <c:pt idx="2">
                  <c:v>7370</c:v>
                </c:pt>
                <c:pt idx="3">
                  <c:v>1371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坐位体前屈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优秀人数</c:v>
                </c:pt>
                <c:pt idx="1">
                  <c:v>良好人数</c:v>
                </c:pt>
                <c:pt idx="2">
                  <c:v>及格人数</c:v>
                </c:pt>
                <c:pt idx="3">
                  <c:v>不及格人数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1984</c:v>
                </c:pt>
                <c:pt idx="1">
                  <c:v>1304</c:v>
                </c:pt>
                <c:pt idx="2">
                  <c:v>5248</c:v>
                </c:pt>
                <c:pt idx="3">
                  <c:v>792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立定跳远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优秀人数</c:v>
                </c:pt>
                <c:pt idx="1">
                  <c:v>良好人数</c:v>
                </c:pt>
                <c:pt idx="2">
                  <c:v>及格人数</c:v>
                </c:pt>
                <c:pt idx="3">
                  <c:v>不及格人数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469</c:v>
                </c:pt>
                <c:pt idx="1">
                  <c:v>1501</c:v>
                </c:pt>
                <c:pt idx="2">
                  <c:v>5662</c:v>
                </c:pt>
                <c:pt idx="3">
                  <c:v>1696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50米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优秀人数</c:v>
                </c:pt>
                <c:pt idx="1">
                  <c:v>良好人数</c:v>
                </c:pt>
                <c:pt idx="2">
                  <c:v>及格人数</c:v>
                </c:pt>
                <c:pt idx="3">
                  <c:v>不及格人数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93</c:v>
                </c:pt>
                <c:pt idx="1">
                  <c:v>810</c:v>
                </c:pt>
                <c:pt idx="2">
                  <c:v>8023</c:v>
                </c:pt>
                <c:pt idx="3">
                  <c:v>402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800米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优秀人数</c:v>
                </c:pt>
                <c:pt idx="1">
                  <c:v>良好人数</c:v>
                </c:pt>
                <c:pt idx="2">
                  <c:v>及格人数</c:v>
                </c:pt>
                <c:pt idx="3">
                  <c:v>不及格人数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307</c:v>
                </c:pt>
                <c:pt idx="1">
                  <c:v>1040</c:v>
                </c:pt>
                <c:pt idx="2">
                  <c:v>6744</c:v>
                </c:pt>
                <c:pt idx="3">
                  <c:v>1237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12</Pages>
  <Words>699</Words>
  <Characters>3987</Characters>
  <Lines>33</Lines>
  <Paragraphs>9</Paragraphs>
  <TotalTime>47</TotalTime>
  <ScaleCrop>false</ScaleCrop>
  <LinksUpToDate>false</LinksUpToDate>
  <CharactersWithSpaces>4677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2018-09-15T11:05:00Z</dcterms:created>
  <dc:creator>user</dc:creator>
  <cp:lastModifiedBy>七百年后</cp:lastModifiedBy>
  <dcterms:modified xsi:type="dcterms:W3CDTF">2018-12-01T06:39:10Z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